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EA211" w14:textId="77777777" w:rsidR="00461A2B" w:rsidRPr="001866DB" w:rsidRDefault="00461A2B" w:rsidP="00461A2B">
      <w:bookmarkStart w:id="0" w:name="_Hlk34924411"/>
      <w:r>
        <w:rPr>
          <w:noProof/>
        </w:rPr>
        <mc:AlternateContent>
          <mc:Choice Requires="wpg">
            <w:drawing>
              <wp:anchor distT="0" distB="0" distL="114300" distR="114300" simplePos="0" relativeHeight="251659264" behindDoc="0" locked="0" layoutInCell="1" allowOverlap="1" wp14:anchorId="460BF164" wp14:editId="53386C4F">
                <wp:simplePos x="0" y="0"/>
                <wp:positionH relativeFrom="column">
                  <wp:posOffset>0</wp:posOffset>
                </wp:positionH>
                <wp:positionV relativeFrom="paragraph">
                  <wp:posOffset>0</wp:posOffset>
                </wp:positionV>
                <wp:extent cx="3901440" cy="484505"/>
                <wp:effectExtent l="0" t="0" r="22860" b="10795"/>
                <wp:wrapSquare wrapText="bothSides"/>
                <wp:docPr id="1" name="Group 1"/>
                <wp:cNvGraphicFramePr/>
                <a:graphic xmlns:a="http://schemas.openxmlformats.org/drawingml/2006/main">
                  <a:graphicData uri="http://schemas.microsoft.com/office/word/2010/wordprocessingGroup">
                    <wpg:wgp>
                      <wpg:cNvGrpSpPr/>
                      <wpg:grpSpPr>
                        <a:xfrm>
                          <a:off x="0" y="0"/>
                          <a:ext cx="3901440" cy="484505"/>
                          <a:chOff x="0" y="0"/>
                          <a:chExt cx="3901440" cy="484632"/>
                        </a:xfrm>
                      </wpg:grpSpPr>
                      <wps:wsp>
                        <wps:cNvPr id="7" name="Rectangle 5"/>
                        <wps:cNvSpPr>
                          <a:spLocks noChangeArrowheads="1"/>
                        </wps:cNvSpPr>
                        <wps:spPr bwMode="auto">
                          <a:xfrm>
                            <a:off x="0" y="0"/>
                            <a:ext cx="1883664" cy="484632"/>
                          </a:xfrm>
                          <a:prstGeom prst="rect">
                            <a:avLst/>
                          </a:prstGeom>
                          <a:solidFill>
                            <a:sysClr val="window" lastClr="FFFFFF">
                              <a:lumMod val="100000"/>
                              <a:lumOff val="0"/>
                            </a:sysClr>
                          </a:solidFill>
                          <a:ln w="9525">
                            <a:solidFill>
                              <a:srgbClr val="A5A5A5">
                                <a:lumMod val="100000"/>
                                <a:lumOff val="0"/>
                              </a:srgbClr>
                            </a:solidFill>
                            <a:miter lim="800000"/>
                            <a:headEnd/>
                            <a:tailEnd/>
                          </a:ln>
                        </wps:spPr>
                        <wps:txbx>
                          <w:txbxContent>
                            <w:p w14:paraId="7E3BAAC4" w14:textId="77777777" w:rsidR="00461A2B" w:rsidRDefault="00461A2B" w:rsidP="00461A2B">
                              <w:pPr>
                                <w:jc w:val="center"/>
                              </w:pPr>
                              <w:r w:rsidRPr="001F3AC1">
                                <w:rPr>
                                  <w:noProof/>
                                </w:rPr>
                                <w:drawing>
                                  <wp:inline distT="0" distB="0" distL="0" distR="0" wp14:anchorId="41F86FE9" wp14:editId="72EA0905">
                                    <wp:extent cx="1721594" cy="340682"/>
                                    <wp:effectExtent l="0" t="0" r="0" b="2540"/>
                                    <wp:docPr id="6" name="Picture 6" descr="M:\WAC Clearinghouse\Publicity and Promotions\Clearinghouse-Logo-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WAC Clearinghouse\Publicity and Promotions\Clearinghouse-Logo-201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9186" cy="342184"/>
                                            </a:xfrm>
                                            <a:prstGeom prst="rect">
                                              <a:avLst/>
                                            </a:prstGeom>
                                            <a:noFill/>
                                            <a:ln>
                                              <a:noFill/>
                                            </a:ln>
                                          </pic:spPr>
                                        </pic:pic>
                                      </a:graphicData>
                                    </a:graphic>
                                  </wp:inline>
                                </w:drawing>
                              </w:r>
                            </w:p>
                          </w:txbxContent>
                        </wps:txbx>
                        <wps:bodyPr rot="0" vert="horz" wrap="square" lIns="0" tIns="0" rIns="0" bIns="0" anchor="ctr" anchorCtr="0" upright="1">
                          <a:noAutofit/>
                        </wps:bodyPr>
                      </wps:wsp>
                      <wps:wsp>
                        <wps:cNvPr id="8" name="Rectangle 5"/>
                        <wps:cNvSpPr>
                          <a:spLocks noChangeArrowheads="1"/>
                        </wps:cNvSpPr>
                        <wps:spPr bwMode="auto">
                          <a:xfrm>
                            <a:off x="2019300" y="0"/>
                            <a:ext cx="1882140" cy="480060"/>
                          </a:xfrm>
                          <a:prstGeom prst="rect">
                            <a:avLst/>
                          </a:prstGeom>
                          <a:solidFill>
                            <a:sysClr val="window" lastClr="FFFFFF">
                              <a:lumMod val="100000"/>
                              <a:lumOff val="0"/>
                            </a:sysClr>
                          </a:solidFill>
                          <a:ln w="9525">
                            <a:solidFill>
                              <a:srgbClr val="A5A5A5">
                                <a:lumMod val="100000"/>
                                <a:lumOff val="0"/>
                              </a:srgbClr>
                            </a:solidFill>
                            <a:miter lim="800000"/>
                            <a:headEnd/>
                            <a:tailEnd/>
                          </a:ln>
                        </wps:spPr>
                        <wps:txbx>
                          <w:txbxContent>
                            <w:p w14:paraId="1768FAAE" w14:textId="77777777" w:rsidR="00461A2B" w:rsidRDefault="00461A2B" w:rsidP="00461A2B">
                              <w:pPr>
                                <w:jc w:val="center"/>
                              </w:pPr>
                              <w:r w:rsidRPr="001F3AC1">
                                <w:rPr>
                                  <w:noProof/>
                                </w:rPr>
                                <w:drawing>
                                  <wp:inline distT="0" distB="0" distL="0" distR="0" wp14:anchorId="25C6F9C3" wp14:editId="5D686A9B">
                                    <wp:extent cx="1789338" cy="333374"/>
                                    <wp:effectExtent l="0" t="0" r="1905" b="0"/>
                                    <wp:docPr id="9" name="Picture 9" descr="M:\WAC Clearinghouse\Publicity and Promotions\CSU Open Pres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WAC Clearinghouse\Publicity and Promotions\CSU Open Press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6656" cy="338464"/>
                                            </a:xfrm>
                                            <a:prstGeom prst="rect">
                                              <a:avLst/>
                                            </a:prstGeom>
                                            <a:noFill/>
                                            <a:ln>
                                              <a:noFill/>
                                            </a:ln>
                                          </pic:spPr>
                                        </pic:pic>
                                      </a:graphicData>
                                    </a:graphic>
                                  </wp:inline>
                                </w:drawing>
                              </w:r>
                            </w:p>
                          </w:txbxContent>
                        </wps:txbx>
                        <wps:bodyPr rot="0" vert="horz" wrap="square" lIns="0" tIns="0" rIns="0" bIns="0" anchor="ctr" anchorCtr="0" upright="1">
                          <a:noAutofit/>
                        </wps:bodyPr>
                      </wps:wsp>
                    </wpg:wgp>
                  </a:graphicData>
                </a:graphic>
                <wp14:sizeRelH relativeFrom="margin">
                  <wp14:pctWidth>0</wp14:pctWidth>
                </wp14:sizeRelH>
              </wp:anchor>
            </w:drawing>
          </mc:Choice>
          <mc:Fallback>
            <w:pict>
              <v:group w14:anchorId="460BF164" id="Group 1" o:spid="_x0000_s1026" style="position:absolute;margin-left:0;margin-top:0;width:307.2pt;height:38.15pt;z-index:251659264;mso-width-relative:margin" coordsize="39014,4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">
                <v:rect id="Rectangle 5" o:spid="_x0000_s1027" style="position:absolute;width:18836;height:4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" strokecolor="#a5a5a5">
                  <v:textbox inset="0,0,0,0">
                    <w:txbxContent>
                      <w:p w14:paraId="7E3BAAC4" w14:textId="77777777" w:rsidR="00461A2B" w:rsidRDefault="00461A2B" w:rsidP="00461A2B">
                        <w:pPr>
                          <w:jc w:val="center"/>
                        </w:pPr>
                        <w:r w:rsidRPr="001F3AC1">
                          <w:rPr>
                            <w:noProof/>
                          </w:rPr>
                          <w:drawing>
                            <wp:inline distT="0" distB="0" distL="0" distR="0" wp14:anchorId="41F86FE9" wp14:editId="72EA0905">
                              <wp:extent cx="1721594" cy="340682"/>
                              <wp:effectExtent l="0" t="0" r="0" b="2540"/>
                              <wp:docPr id="6" name="Picture 6" descr="M:\WAC Clearinghouse\Publicity and Promotions\Clearinghouse-Logo-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WAC Clearinghouse\Publicity and Promotions\Clearinghouse-Logo-201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9186" cy="342184"/>
                                      </a:xfrm>
                                      <a:prstGeom prst="rect">
                                        <a:avLst/>
                                      </a:prstGeom>
                                      <a:noFill/>
                                      <a:ln>
                                        <a:noFill/>
                                      </a:ln>
                                    </pic:spPr>
                                  </pic:pic>
                                </a:graphicData>
                              </a:graphic>
                            </wp:inline>
                          </w:drawing>
                        </w:r>
                      </w:p>
                    </w:txbxContent>
                  </v:textbox>
                </v:rect>
                <v:rect id="Rectangle 5" o:spid="_x0000_s1028" style="position:absolute;left:20193;width:18821;height: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" strokecolor="#a5a5a5">
                  <v:textbox inset="0,0,0,0">
                    <w:txbxContent>
                      <w:p w14:paraId="1768FAAE" w14:textId="77777777" w:rsidR="00461A2B" w:rsidRDefault="00461A2B" w:rsidP="00461A2B">
                        <w:pPr>
                          <w:jc w:val="center"/>
                        </w:pPr>
                        <w:r w:rsidRPr="001F3AC1">
                          <w:rPr>
                            <w:noProof/>
                          </w:rPr>
                          <w:drawing>
                            <wp:inline distT="0" distB="0" distL="0" distR="0" wp14:anchorId="25C6F9C3" wp14:editId="5D686A9B">
                              <wp:extent cx="1789338" cy="333374"/>
                              <wp:effectExtent l="0" t="0" r="1905" b="0"/>
                              <wp:docPr id="9" name="Picture 9" descr="M:\WAC Clearinghouse\Publicity and Promotions\CSU Open Pres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WAC Clearinghouse\Publicity and Promotions\CSU Open Press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6656" cy="338464"/>
                                      </a:xfrm>
                                      <a:prstGeom prst="rect">
                                        <a:avLst/>
                                      </a:prstGeom>
                                      <a:noFill/>
                                      <a:ln>
                                        <a:noFill/>
                                      </a:ln>
                                    </pic:spPr>
                                  </pic:pic>
                                </a:graphicData>
                              </a:graphic>
                            </wp:inline>
                          </w:drawing>
                        </w:r>
                      </w:p>
                    </w:txbxContent>
                  </v:textbox>
                </v:rect>
                <w10:wrap type="square"/>
              </v:group>
            </w:pict>
          </mc:Fallback>
        </mc:AlternateContent>
      </w:r>
    </w:p>
    <w:p w14:paraId="572C0CEA" w14:textId="77777777" w:rsidR="00461A2B" w:rsidRDefault="00461A2B" w:rsidP="00461A2B">
      <w:pPr>
        <w:rPr>
          <w:b/>
        </w:rPr>
      </w:pPr>
    </w:p>
    <w:bookmarkEnd w:id="0"/>
    <w:p w14:paraId="14726967" w14:textId="77777777" w:rsidR="00461A2B" w:rsidRDefault="00461A2B" w:rsidP="00BB106B">
      <w:pPr>
        <w:jc w:val="center"/>
        <w:rPr>
          <w:rFonts w:ascii="Calibri" w:eastAsiaTheme="majorEastAsia" w:hAnsi="Calibri" w:cs="Calibri"/>
          <w:b/>
          <w:spacing w:val="-10"/>
          <w:kern w:val="28"/>
          <w:sz w:val="36"/>
          <w:szCs w:val="56"/>
          <w:lang w:eastAsia="en-US"/>
        </w:rPr>
      </w:pPr>
    </w:p>
    <w:p w14:paraId="4259E434" w14:textId="0D947C54" w:rsidR="00461A2B" w:rsidRDefault="00461A2B" w:rsidP="00461A2B">
      <w:pPr>
        <w:rPr>
          <w:b/>
          <w:sz w:val="36"/>
        </w:rPr>
      </w:pPr>
      <w:r w:rsidRPr="00461A2B">
        <w:rPr>
          <w:b/>
          <w:sz w:val="36"/>
        </w:rPr>
        <w:t xml:space="preserve">Podcast Transcript </w:t>
      </w:r>
    </w:p>
    <w:p w14:paraId="54A156FD" w14:textId="3FCCC02B" w:rsidR="00FC03D8" w:rsidRPr="007D2BC8" w:rsidRDefault="00FC03D8" w:rsidP="00461A2B">
      <w:pPr>
        <w:spacing w:before="240"/>
        <w:rPr>
          <w:rFonts w:ascii="Times New Roman" w:hAnsi="Times New Roman" w:cs="Times New Roman"/>
        </w:rPr>
      </w:pPr>
      <w:r>
        <w:rPr>
          <w:rFonts w:ascii="Times New Roman" w:hAnsi="Times New Roman" w:cs="Times New Roman"/>
          <w:i/>
          <w:iCs/>
        </w:rPr>
        <w:t>Stories from First-Year Composition</w:t>
      </w:r>
      <w:r>
        <w:rPr>
          <w:rFonts w:ascii="Times New Roman" w:hAnsi="Times New Roman" w:cs="Times New Roman"/>
        </w:rPr>
        <w:t xml:space="preserve"> co-editor Jo-Anne Kerr speak</w:t>
      </w:r>
      <w:r w:rsidR="00BB106B">
        <w:rPr>
          <w:rFonts w:ascii="Times New Roman" w:hAnsi="Times New Roman" w:cs="Times New Roman"/>
        </w:rPr>
        <w:t>s</w:t>
      </w:r>
      <w:r>
        <w:rPr>
          <w:rFonts w:ascii="Times New Roman" w:hAnsi="Times New Roman" w:cs="Times New Roman"/>
        </w:rPr>
        <w:t xml:space="preserve"> with </w:t>
      </w:r>
      <w:r w:rsidR="00BB106B">
        <w:rPr>
          <w:rFonts w:ascii="Times New Roman" w:hAnsi="Times New Roman" w:cs="Times New Roman"/>
        </w:rPr>
        <w:t xml:space="preserve">chapter author Doug Downs and co-editor and chapter author Ann </w:t>
      </w:r>
      <w:proofErr w:type="spellStart"/>
      <w:r w:rsidR="00BB106B">
        <w:rPr>
          <w:rFonts w:ascii="Times New Roman" w:hAnsi="Times New Roman" w:cs="Times New Roman"/>
        </w:rPr>
        <w:t>Amicucci</w:t>
      </w:r>
      <w:proofErr w:type="spellEnd"/>
    </w:p>
    <w:p w14:paraId="4C9305B8" w14:textId="77777777" w:rsidR="00FC03D8" w:rsidRPr="00317B3F" w:rsidRDefault="00FC03D8" w:rsidP="00FC03D8">
      <w:pPr>
        <w:rPr>
          <w:rFonts w:ascii="Times New Roman" w:hAnsi="Times New Roman" w:cs="Times New Roman"/>
        </w:rPr>
      </w:pPr>
    </w:p>
    <w:p w14:paraId="3F4F4D91" w14:textId="77777777" w:rsidR="00FC03D8" w:rsidRPr="00317B3F" w:rsidRDefault="00FC03D8" w:rsidP="00FC03D8">
      <w:pPr>
        <w:rPr>
          <w:rFonts w:ascii="Times New Roman" w:hAnsi="Times New Roman" w:cs="Times New Roman"/>
        </w:rPr>
      </w:pPr>
      <w:r w:rsidRPr="00317B3F">
        <w:rPr>
          <w:rFonts w:ascii="Times New Roman" w:hAnsi="Times New Roman" w:cs="Times New Roman"/>
        </w:rPr>
        <w:t>[Intro music]</w:t>
      </w:r>
    </w:p>
    <w:p w14:paraId="605F98D4" w14:textId="77777777" w:rsidR="00FC03D8" w:rsidRPr="00317B3F" w:rsidRDefault="00FC03D8" w:rsidP="00FC03D8">
      <w:pPr>
        <w:rPr>
          <w:rFonts w:ascii="Times New Roman" w:hAnsi="Times New Roman" w:cs="Times New Roman"/>
        </w:rPr>
      </w:pPr>
    </w:p>
    <w:p w14:paraId="4E76DF19" w14:textId="77777777" w:rsidR="00FC03D8" w:rsidRDefault="00FC03D8" w:rsidP="00FC03D8">
      <w:pPr>
        <w:rPr>
          <w:rFonts w:ascii="Times New Roman" w:hAnsi="Times New Roman" w:cs="Times New Roman"/>
        </w:rPr>
      </w:pPr>
      <w:r>
        <w:rPr>
          <w:rFonts w:ascii="Times New Roman" w:hAnsi="Times New Roman" w:cs="Times New Roman"/>
          <w:b/>
          <w:bCs/>
        </w:rPr>
        <w:t>Jo-Anne</w:t>
      </w:r>
      <w:r w:rsidRPr="00317B3F">
        <w:rPr>
          <w:rFonts w:ascii="Times New Roman" w:hAnsi="Times New Roman" w:cs="Times New Roman"/>
        </w:rPr>
        <w:t xml:space="preserve">: Hi, I’m </w:t>
      </w:r>
      <w:r>
        <w:rPr>
          <w:rFonts w:ascii="Times New Roman" w:hAnsi="Times New Roman" w:cs="Times New Roman"/>
        </w:rPr>
        <w:t>Jo-Anne Kerr</w:t>
      </w:r>
      <w:r w:rsidRPr="00317B3F">
        <w:rPr>
          <w:rFonts w:ascii="Times New Roman" w:hAnsi="Times New Roman" w:cs="Times New Roman"/>
        </w:rPr>
        <w:t xml:space="preserve">, host of today’s conversation and co-editor, with </w:t>
      </w:r>
      <w:r>
        <w:rPr>
          <w:rFonts w:ascii="Times New Roman" w:hAnsi="Times New Roman" w:cs="Times New Roman"/>
        </w:rPr>
        <w:t xml:space="preserve">Ann </w:t>
      </w:r>
      <w:proofErr w:type="spellStart"/>
      <w:r>
        <w:rPr>
          <w:rFonts w:ascii="Times New Roman" w:hAnsi="Times New Roman" w:cs="Times New Roman"/>
        </w:rPr>
        <w:t>Amicucci</w:t>
      </w:r>
      <w:proofErr w:type="spellEnd"/>
      <w:r w:rsidRPr="00317B3F">
        <w:rPr>
          <w:rFonts w:ascii="Times New Roman" w:hAnsi="Times New Roman" w:cs="Times New Roman"/>
        </w:rPr>
        <w:t xml:space="preserve">, of </w:t>
      </w:r>
      <w:r w:rsidRPr="00317B3F">
        <w:rPr>
          <w:rFonts w:ascii="Times New Roman" w:hAnsi="Times New Roman" w:cs="Times New Roman"/>
          <w:i/>
          <w:iCs/>
        </w:rPr>
        <w:t>Stories from First-Year Composition: FYC Pedagogies that Foster Student Agency and Writing Identity</w:t>
      </w:r>
      <w:r w:rsidRPr="00317B3F">
        <w:rPr>
          <w:rFonts w:ascii="Times New Roman" w:hAnsi="Times New Roman" w:cs="Times New Roman"/>
        </w:rPr>
        <w:t xml:space="preserve">, published in the WAC Clearinghouse Practices and Possibilities series. You can read </w:t>
      </w:r>
      <w:proofErr w:type="gramStart"/>
      <w:r w:rsidRPr="00317B3F">
        <w:rPr>
          <w:rFonts w:ascii="Times New Roman" w:hAnsi="Times New Roman" w:cs="Times New Roman"/>
        </w:rPr>
        <w:t>this</w:t>
      </w:r>
      <w:proofErr w:type="gramEnd"/>
      <w:r w:rsidRPr="00317B3F">
        <w:rPr>
          <w:rFonts w:ascii="Times New Roman" w:hAnsi="Times New Roman" w:cs="Times New Roman"/>
        </w:rPr>
        <w:t xml:space="preserve"> and other books published by the WAC Clearinghouse at </w:t>
      </w:r>
      <w:hyperlink r:id="rId9" w:history="1">
        <w:r w:rsidRPr="00317B3F">
          <w:rPr>
            <w:rStyle w:val="Hyperlink"/>
            <w:rFonts w:ascii="Times New Roman" w:hAnsi="Times New Roman" w:cs="Times New Roman"/>
          </w:rPr>
          <w:t>wac.colostate.edu</w:t>
        </w:r>
      </w:hyperlink>
      <w:r w:rsidRPr="00317B3F">
        <w:rPr>
          <w:rFonts w:ascii="Times New Roman" w:hAnsi="Times New Roman" w:cs="Times New Roman"/>
        </w:rPr>
        <w:t xml:space="preserve"> </w:t>
      </w:r>
    </w:p>
    <w:p w14:paraId="41599301" w14:textId="77777777" w:rsidR="00FC03D8" w:rsidRDefault="00FC03D8" w:rsidP="00FC03D8">
      <w:pPr>
        <w:rPr>
          <w:rFonts w:ascii="Times New Roman" w:hAnsi="Times New Roman" w:cs="Times New Roman"/>
        </w:rPr>
      </w:pPr>
    </w:p>
    <w:p w14:paraId="24696DCC" w14:textId="66FD3C6A" w:rsidR="00FC03D8" w:rsidRPr="00FB283A" w:rsidRDefault="00FB283A" w:rsidP="00FC03D8">
      <w:pPr>
        <w:rPr>
          <w:rFonts w:ascii="Times New Roman" w:hAnsi="Times New Roman" w:cs="Times New Roman"/>
        </w:rPr>
      </w:pPr>
      <w:r>
        <w:rPr>
          <w:rFonts w:ascii="Times New Roman" w:hAnsi="Times New Roman" w:cs="Times New Roman"/>
        </w:rPr>
        <w:t xml:space="preserve">This podcast </w:t>
      </w:r>
      <w:r w:rsidR="00FC03D8" w:rsidRPr="00317B3F">
        <w:rPr>
          <w:rFonts w:ascii="Times New Roman" w:hAnsi="Times New Roman" w:cs="Times New Roman"/>
        </w:rPr>
        <w:t>features</w:t>
      </w:r>
      <w:r>
        <w:rPr>
          <w:rFonts w:ascii="Times New Roman" w:hAnsi="Times New Roman" w:cs="Times New Roman"/>
        </w:rPr>
        <w:t xml:space="preserve"> a conversation with Doug Downs and Ann </w:t>
      </w:r>
      <w:proofErr w:type="spellStart"/>
      <w:r>
        <w:rPr>
          <w:rFonts w:ascii="Times New Roman" w:hAnsi="Times New Roman" w:cs="Times New Roman"/>
        </w:rPr>
        <w:t>Amicucci</w:t>
      </w:r>
      <w:proofErr w:type="spellEnd"/>
      <w:r>
        <w:rPr>
          <w:rFonts w:ascii="Times New Roman" w:hAnsi="Times New Roman" w:cs="Times New Roman"/>
        </w:rPr>
        <w:t xml:space="preserve">, both of whom contributed chapters to </w:t>
      </w:r>
      <w:r>
        <w:rPr>
          <w:rFonts w:ascii="Times New Roman" w:hAnsi="Times New Roman" w:cs="Times New Roman"/>
          <w:i/>
          <w:iCs/>
        </w:rPr>
        <w:t xml:space="preserve">Stories from First-Year Composition. </w:t>
      </w:r>
      <w:r>
        <w:rPr>
          <w:rFonts w:ascii="Times New Roman" w:hAnsi="Times New Roman" w:cs="Times New Roman"/>
        </w:rPr>
        <w:t>We’ll hear Doug and Ann discuss the current state of first-year composition at their respective institutions and their thoughts about how their pedagogies help students develop agency as writers. They also share how their own identities as teachers of first-year composition have evolved as a result of their scholarship.</w:t>
      </w:r>
    </w:p>
    <w:p w14:paraId="7BA5FC2E" w14:textId="77777777" w:rsidR="00FC03D8" w:rsidRPr="00317B3F" w:rsidRDefault="00FC03D8" w:rsidP="00FC03D8">
      <w:pPr>
        <w:rPr>
          <w:rFonts w:ascii="Times New Roman" w:hAnsi="Times New Roman" w:cs="Times New Roman"/>
        </w:rPr>
      </w:pPr>
    </w:p>
    <w:p w14:paraId="29C85F15" w14:textId="77777777" w:rsidR="00FC03D8" w:rsidRPr="00317B3F" w:rsidRDefault="00FC03D8" w:rsidP="00FC03D8">
      <w:pPr>
        <w:rPr>
          <w:rFonts w:ascii="Times New Roman" w:hAnsi="Times New Roman" w:cs="Times New Roman"/>
        </w:rPr>
      </w:pPr>
      <w:r w:rsidRPr="00317B3F">
        <w:rPr>
          <w:rFonts w:ascii="Times New Roman" w:hAnsi="Times New Roman" w:cs="Times New Roman"/>
        </w:rPr>
        <w:t>[Music stops]</w:t>
      </w:r>
    </w:p>
    <w:p w14:paraId="06F4718A" w14:textId="77777777" w:rsidR="00FC03D8" w:rsidRPr="00317B3F" w:rsidRDefault="00FC03D8" w:rsidP="00FC03D8">
      <w:pPr>
        <w:rPr>
          <w:rFonts w:ascii="Times New Roman" w:hAnsi="Times New Roman" w:cs="Times New Roman"/>
        </w:rPr>
      </w:pPr>
    </w:p>
    <w:p w14:paraId="131F8DFB" w14:textId="017B97FD" w:rsidR="008861F5" w:rsidRDefault="00FC03D8">
      <w:pPr>
        <w:rPr>
          <w:rFonts w:ascii="Times New Roman" w:hAnsi="Times New Roman" w:cs="Times New Roman"/>
        </w:rPr>
      </w:pPr>
      <w:r w:rsidRPr="008C1A08">
        <w:rPr>
          <w:rFonts w:ascii="Times New Roman" w:hAnsi="Times New Roman" w:cs="Times New Roman"/>
          <w:b/>
          <w:bCs/>
        </w:rPr>
        <w:t>Jo-Anne</w:t>
      </w:r>
      <w:r>
        <w:rPr>
          <w:rFonts w:ascii="Times New Roman" w:hAnsi="Times New Roman" w:cs="Times New Roman"/>
          <w:b/>
          <w:bCs/>
        </w:rPr>
        <w:t xml:space="preserve">: </w:t>
      </w:r>
      <w:r w:rsidR="00FB283A">
        <w:rPr>
          <w:rFonts w:ascii="Times New Roman" w:hAnsi="Times New Roman" w:cs="Times New Roman"/>
        </w:rPr>
        <w:t>I</w:t>
      </w:r>
      <w:r>
        <w:rPr>
          <w:rFonts w:ascii="Times New Roman" w:hAnsi="Times New Roman" w:cs="Times New Roman"/>
        </w:rPr>
        <w:t xml:space="preserve"> thought we would begin by asking you to introduce yourselves and to </w:t>
      </w:r>
      <w:r w:rsidR="00FB283A">
        <w:rPr>
          <w:rFonts w:ascii="Times New Roman" w:hAnsi="Times New Roman" w:cs="Times New Roman"/>
        </w:rPr>
        <w:t xml:space="preserve">identify the positions you currently hold. </w:t>
      </w:r>
    </w:p>
    <w:p w14:paraId="7D826533" w14:textId="0E7160C0" w:rsidR="00FB283A" w:rsidRDefault="00FB283A">
      <w:pPr>
        <w:rPr>
          <w:rFonts w:ascii="Times New Roman" w:hAnsi="Times New Roman" w:cs="Times New Roman"/>
        </w:rPr>
      </w:pPr>
    </w:p>
    <w:p w14:paraId="2E995123" w14:textId="5E6C2191" w:rsidR="00FB283A" w:rsidRDefault="00FB283A">
      <w:pPr>
        <w:rPr>
          <w:rFonts w:ascii="Times New Roman" w:hAnsi="Times New Roman" w:cs="Times New Roman"/>
        </w:rPr>
      </w:pPr>
      <w:r>
        <w:rPr>
          <w:rFonts w:ascii="Times New Roman" w:hAnsi="Times New Roman" w:cs="Times New Roman"/>
          <w:b/>
          <w:bCs/>
        </w:rPr>
        <w:t xml:space="preserve">Doug: </w:t>
      </w:r>
      <w:r>
        <w:rPr>
          <w:rFonts w:ascii="Times New Roman" w:hAnsi="Times New Roman" w:cs="Times New Roman"/>
        </w:rPr>
        <w:t>I’m Doug Downs. I’m an Associate Professor of Rhetoric and Writing Studies at Montana State University in the Department of English there. I just finished my eleventh year here.</w:t>
      </w:r>
    </w:p>
    <w:p w14:paraId="7550970E" w14:textId="2FBFFD0E" w:rsidR="00FB283A" w:rsidRDefault="00FB283A">
      <w:pPr>
        <w:rPr>
          <w:rFonts w:ascii="Times New Roman" w:hAnsi="Times New Roman" w:cs="Times New Roman"/>
        </w:rPr>
      </w:pPr>
    </w:p>
    <w:p w14:paraId="735BDD6C" w14:textId="6BA8B801" w:rsidR="00FB283A" w:rsidRDefault="00FB283A">
      <w:pPr>
        <w:rPr>
          <w:rFonts w:ascii="Times New Roman" w:hAnsi="Times New Roman" w:cs="Times New Roman"/>
          <w:bCs/>
        </w:rPr>
      </w:pPr>
      <w:r>
        <w:rPr>
          <w:rFonts w:ascii="Times New Roman" w:hAnsi="Times New Roman" w:cs="Times New Roman"/>
          <w:b/>
        </w:rPr>
        <w:t xml:space="preserve">Ann: </w:t>
      </w:r>
      <w:r>
        <w:rPr>
          <w:rFonts w:ascii="Times New Roman" w:hAnsi="Times New Roman" w:cs="Times New Roman"/>
          <w:bCs/>
        </w:rPr>
        <w:t xml:space="preserve">And I’m Ann </w:t>
      </w:r>
      <w:proofErr w:type="spellStart"/>
      <w:r>
        <w:rPr>
          <w:rFonts w:ascii="Times New Roman" w:hAnsi="Times New Roman" w:cs="Times New Roman"/>
          <w:bCs/>
        </w:rPr>
        <w:t>Amicucci</w:t>
      </w:r>
      <w:proofErr w:type="spellEnd"/>
      <w:r>
        <w:rPr>
          <w:rFonts w:ascii="Times New Roman" w:hAnsi="Times New Roman" w:cs="Times New Roman"/>
          <w:bCs/>
        </w:rPr>
        <w:t xml:space="preserve">. I’m Director of First-Year Rhetoric and Writing and Assistant Professor of English at the University of Colorado </w:t>
      </w:r>
      <w:proofErr w:type="spellStart"/>
      <w:r>
        <w:rPr>
          <w:rFonts w:ascii="Times New Roman" w:hAnsi="Times New Roman" w:cs="Times New Roman"/>
          <w:bCs/>
        </w:rPr>
        <w:t>Colorado</w:t>
      </w:r>
      <w:proofErr w:type="spellEnd"/>
      <w:r>
        <w:rPr>
          <w:rFonts w:ascii="Times New Roman" w:hAnsi="Times New Roman" w:cs="Times New Roman"/>
          <w:bCs/>
        </w:rPr>
        <w:t xml:space="preserve"> Springs. </w:t>
      </w:r>
    </w:p>
    <w:p w14:paraId="42A7EFCE" w14:textId="3FA78BFA" w:rsidR="00FB283A" w:rsidRDefault="00FB283A">
      <w:pPr>
        <w:rPr>
          <w:rFonts w:ascii="Times New Roman" w:hAnsi="Times New Roman" w:cs="Times New Roman"/>
          <w:bCs/>
        </w:rPr>
      </w:pPr>
    </w:p>
    <w:p w14:paraId="19B1BD01" w14:textId="252E1253" w:rsidR="00FB283A" w:rsidRDefault="00FB283A">
      <w:pPr>
        <w:rPr>
          <w:rFonts w:ascii="Times New Roman" w:hAnsi="Times New Roman" w:cs="Times New Roman"/>
          <w:bCs/>
        </w:rPr>
      </w:pPr>
      <w:r>
        <w:rPr>
          <w:rFonts w:ascii="Times New Roman" w:hAnsi="Times New Roman" w:cs="Times New Roman"/>
          <w:b/>
        </w:rPr>
        <w:t xml:space="preserve">Jo-Anne: </w:t>
      </w:r>
      <w:r>
        <w:rPr>
          <w:rFonts w:ascii="Times New Roman" w:hAnsi="Times New Roman" w:cs="Times New Roman"/>
          <w:bCs/>
        </w:rPr>
        <w:t>Thank you. Let’s begin with both of you</w:t>
      </w:r>
      <w:r w:rsidR="00AB4A4C">
        <w:rPr>
          <w:rFonts w:ascii="Times New Roman" w:hAnsi="Times New Roman" w:cs="Times New Roman"/>
          <w:bCs/>
        </w:rPr>
        <w:t xml:space="preserve"> sharing a brief depiction of the current state of first-year composition from your perspectives as teachers, scholars, and, in Ann’s case, as a teacher, scholar, and writing program administrator. In particular, what strengths are you aware of in the way that first-year composition is designed and delivered at your institutions, and what weaknesses and/or challenges exist?</w:t>
      </w:r>
    </w:p>
    <w:p w14:paraId="7381C84D" w14:textId="54EE1D1F" w:rsidR="00AB4A4C" w:rsidRDefault="00AB4A4C">
      <w:pPr>
        <w:rPr>
          <w:rFonts w:ascii="Times New Roman" w:hAnsi="Times New Roman" w:cs="Times New Roman"/>
          <w:bCs/>
        </w:rPr>
      </w:pPr>
    </w:p>
    <w:p w14:paraId="554D2B8D" w14:textId="77777777" w:rsidR="00C831B0" w:rsidRDefault="00AB4A4C">
      <w:pPr>
        <w:rPr>
          <w:rFonts w:ascii="Times New Roman" w:hAnsi="Times New Roman" w:cs="Times New Roman"/>
          <w:bCs/>
        </w:rPr>
      </w:pPr>
      <w:r>
        <w:rPr>
          <w:rFonts w:ascii="Times New Roman" w:hAnsi="Times New Roman" w:cs="Times New Roman"/>
          <w:b/>
        </w:rPr>
        <w:t xml:space="preserve">Ann: </w:t>
      </w:r>
      <w:r>
        <w:rPr>
          <w:rFonts w:ascii="Times New Roman" w:hAnsi="Times New Roman" w:cs="Times New Roman"/>
          <w:bCs/>
        </w:rPr>
        <w:t xml:space="preserve">You know, I </w:t>
      </w:r>
      <w:r w:rsidR="005B125E">
        <w:rPr>
          <w:rFonts w:ascii="Times New Roman" w:hAnsi="Times New Roman" w:cs="Times New Roman"/>
          <w:bCs/>
        </w:rPr>
        <w:t xml:space="preserve">am finding that FYC, we’re facing pressure from so many stakeholders, and I know this is a subject Doug has written about. In the state of Colorado, as I know in so many other states, we’re facing a lot of state pressure to get students to a finished college degree faster, to give credit for FYC for pretty much any type of test you can think of, and so a lot of these pressures, I think, devalue what FYC has to offer. But here at UCCS, I feel that we’re doing things well. </w:t>
      </w:r>
    </w:p>
    <w:p w14:paraId="0A7A986B" w14:textId="77777777" w:rsidR="00C831B0" w:rsidRDefault="00C831B0">
      <w:pPr>
        <w:rPr>
          <w:rFonts w:ascii="Times New Roman" w:hAnsi="Times New Roman" w:cs="Times New Roman"/>
          <w:bCs/>
        </w:rPr>
      </w:pPr>
    </w:p>
    <w:p w14:paraId="4DDFFE82" w14:textId="0C8CA3F5" w:rsidR="00AB4A4C" w:rsidRDefault="005B125E">
      <w:pPr>
        <w:rPr>
          <w:rFonts w:ascii="Times New Roman" w:hAnsi="Times New Roman" w:cs="Times New Roman"/>
          <w:bCs/>
        </w:rPr>
      </w:pPr>
      <w:r>
        <w:rPr>
          <w:rFonts w:ascii="Times New Roman" w:hAnsi="Times New Roman" w:cs="Times New Roman"/>
          <w:bCs/>
        </w:rPr>
        <w:lastRenderedPageBreak/>
        <w:t xml:space="preserve">One of the successes of our program, our curriculum is based in rhetoric, and this was thanks to a former director, Debra Frank Dew, and work that she did with faculty to develop a rhetoric-focused curriculum. And I would say its major success is that it really helps students see the value of FYC beyond just that course. </w:t>
      </w:r>
      <w:proofErr w:type="gramStart"/>
      <w:r>
        <w:rPr>
          <w:rFonts w:ascii="Times New Roman" w:hAnsi="Times New Roman" w:cs="Times New Roman"/>
          <w:bCs/>
        </w:rPr>
        <w:t>So</w:t>
      </w:r>
      <w:proofErr w:type="gramEnd"/>
      <w:r>
        <w:rPr>
          <w:rFonts w:ascii="Times New Roman" w:hAnsi="Times New Roman" w:cs="Times New Roman"/>
          <w:bCs/>
        </w:rPr>
        <w:t xml:space="preserve"> when we teach them writing through the lens of rhetorical analysis, they really see how those abilities apply to their lives outside of school and to the work that they plan to do in their college majors.</w:t>
      </w:r>
    </w:p>
    <w:p w14:paraId="20A66DC4" w14:textId="2BCDB1C0" w:rsidR="005B125E" w:rsidRDefault="005B125E">
      <w:pPr>
        <w:rPr>
          <w:rFonts w:ascii="Times New Roman" w:hAnsi="Times New Roman" w:cs="Times New Roman"/>
          <w:bCs/>
        </w:rPr>
      </w:pPr>
    </w:p>
    <w:p w14:paraId="5BD218AD" w14:textId="77777777" w:rsidR="00C831B0" w:rsidRDefault="005B125E">
      <w:pPr>
        <w:rPr>
          <w:rFonts w:ascii="Times New Roman" w:hAnsi="Times New Roman" w:cs="Times New Roman"/>
        </w:rPr>
      </w:pPr>
      <w:r>
        <w:rPr>
          <w:rFonts w:ascii="Times New Roman" w:hAnsi="Times New Roman" w:cs="Times New Roman"/>
          <w:b/>
          <w:bCs/>
        </w:rPr>
        <w:t xml:space="preserve">Doug: </w:t>
      </w:r>
      <w:r>
        <w:rPr>
          <w:rFonts w:ascii="Times New Roman" w:hAnsi="Times New Roman" w:cs="Times New Roman"/>
        </w:rPr>
        <w:t>Until last year, I had spent the five previous years as director of our program, and I’m always struck by the challenge of getting instructors more or less on the same page</w:t>
      </w:r>
      <w:r w:rsidR="00C24E15">
        <w:rPr>
          <w:rFonts w:ascii="Times New Roman" w:hAnsi="Times New Roman" w:cs="Times New Roman"/>
        </w:rPr>
        <w:t xml:space="preserve"> conceptually about what it is we mean to be doing with the course. And so I would really characterize my years as director as a movement toward the kind of professional engagement and development that would make it make sense for our instructor core as a whole to do the kinds of composition work that Deb really pioneered sort of at the same time that Liz Wardle and I were working on Writing About Writing originally, and those are very close, very close cousins in terms of pedagogies. </w:t>
      </w:r>
    </w:p>
    <w:p w14:paraId="5844D577" w14:textId="77777777" w:rsidR="00C831B0" w:rsidRDefault="00C831B0">
      <w:pPr>
        <w:rPr>
          <w:rFonts w:ascii="Times New Roman" w:hAnsi="Times New Roman" w:cs="Times New Roman"/>
        </w:rPr>
      </w:pPr>
    </w:p>
    <w:p w14:paraId="0D28D969" w14:textId="26099278" w:rsidR="005B125E" w:rsidRDefault="00C24E15">
      <w:pPr>
        <w:rPr>
          <w:rFonts w:ascii="Times New Roman" w:hAnsi="Times New Roman" w:cs="Times New Roman"/>
        </w:rPr>
      </w:pPr>
      <w:proofErr w:type="gramStart"/>
      <w:r>
        <w:rPr>
          <w:rFonts w:ascii="Times New Roman" w:hAnsi="Times New Roman" w:cs="Times New Roman"/>
        </w:rPr>
        <w:t>So</w:t>
      </w:r>
      <w:proofErr w:type="gramEnd"/>
      <w:r>
        <w:rPr>
          <w:rFonts w:ascii="Times New Roman" w:hAnsi="Times New Roman" w:cs="Times New Roman"/>
        </w:rPr>
        <w:t xml:space="preserve"> I think some of the things </w:t>
      </w:r>
      <w:r w:rsidR="002512DB">
        <w:rPr>
          <w:rFonts w:ascii="Times New Roman" w:hAnsi="Times New Roman" w:cs="Times New Roman"/>
        </w:rPr>
        <w:t xml:space="preserve">that our program is doing well, we, too, are really stressing the rhetorical thinking and trying to get students beyond a pure sort of classical rhetoric take. You know, ethos, logos, and pathos </w:t>
      </w:r>
      <w:proofErr w:type="gramStart"/>
      <w:r w:rsidR="002512DB">
        <w:rPr>
          <w:rFonts w:ascii="Times New Roman" w:hAnsi="Times New Roman" w:cs="Times New Roman"/>
        </w:rPr>
        <w:t>is</w:t>
      </w:r>
      <w:proofErr w:type="gramEnd"/>
      <w:r w:rsidR="002512DB">
        <w:rPr>
          <w:rFonts w:ascii="Times New Roman" w:hAnsi="Times New Roman" w:cs="Times New Roman"/>
        </w:rPr>
        <w:t xml:space="preserve"> a starting point, not an ending point, and trying to think about rhetoric more broadly than that. And just, on the larger scale, reconceptualizing writing itself, having students leave our classrooms understanding, you know, for example, revision as something, transforming their understandings of it from extra, or punishment, or a sign of failure, to a notion of it as inevitable and non-optional. So that’s really, we’re doing well in those areas, I would say.</w:t>
      </w:r>
    </w:p>
    <w:p w14:paraId="1EC01A53" w14:textId="4ABE9C26" w:rsidR="002512DB" w:rsidRDefault="002512DB">
      <w:pPr>
        <w:rPr>
          <w:rFonts w:ascii="Times New Roman" w:hAnsi="Times New Roman" w:cs="Times New Roman"/>
        </w:rPr>
      </w:pPr>
    </w:p>
    <w:p w14:paraId="0D7927EA" w14:textId="322FF3C2" w:rsidR="002512DB" w:rsidRDefault="002512DB">
      <w:pPr>
        <w:rPr>
          <w:rFonts w:ascii="Times New Roman" w:hAnsi="Times New Roman" w:cs="Times New Roman"/>
        </w:rPr>
      </w:pPr>
      <w:r>
        <w:rPr>
          <w:rFonts w:ascii="Times New Roman" w:hAnsi="Times New Roman" w:cs="Times New Roman"/>
          <w:b/>
          <w:bCs/>
        </w:rPr>
        <w:t xml:space="preserve">Ann: </w:t>
      </w:r>
      <w:r>
        <w:rPr>
          <w:rFonts w:ascii="Times New Roman" w:hAnsi="Times New Roman" w:cs="Times New Roman"/>
        </w:rPr>
        <w:t>And I might just add to that, I think that’s so interesting because we have the first layer of getting students to see the value, and then you’re speaking to that second layer of when we have large programs. Our field is so large and diverse that I know here, we have faculty that represent, you know, every different angle of English Studies that you can think of, and so we’re often corralling together all these different perspectives, sometimes really disparate values among faculty, to figure out, what does a curriculum look like in a particular context.</w:t>
      </w:r>
    </w:p>
    <w:p w14:paraId="74A72108" w14:textId="4AAB1BA7" w:rsidR="002512DB" w:rsidRDefault="002512DB">
      <w:pPr>
        <w:rPr>
          <w:rFonts w:ascii="Times New Roman" w:hAnsi="Times New Roman" w:cs="Times New Roman"/>
        </w:rPr>
      </w:pPr>
    </w:p>
    <w:p w14:paraId="1118EA92" w14:textId="77777777" w:rsidR="00C831B0" w:rsidRDefault="002512DB">
      <w:pPr>
        <w:rPr>
          <w:rFonts w:ascii="Times New Roman" w:hAnsi="Times New Roman" w:cs="Times New Roman"/>
        </w:rPr>
      </w:pPr>
      <w:r>
        <w:rPr>
          <w:rFonts w:ascii="Times New Roman" w:hAnsi="Times New Roman" w:cs="Times New Roman"/>
          <w:b/>
        </w:rPr>
        <w:t xml:space="preserve">Doug: </w:t>
      </w:r>
      <w:r>
        <w:rPr>
          <w:rFonts w:ascii="Times New Roman" w:hAnsi="Times New Roman" w:cs="Times New Roman"/>
        </w:rPr>
        <w:t xml:space="preserve">And Ann, I love your point, too, about the array of stakeholders that we have and some of the constraints that can represent. I’m thinking just structurally, even after instructors are on the same page, and we feel like we know what we want to do with students, like we really want to stress, and this comes up some in my chapter, that writing is collaborative by default, by nature, and that that sort of lone wolf or solo hero writing, that’s the weird moments in writing. </w:t>
      </w:r>
    </w:p>
    <w:p w14:paraId="02447D3F" w14:textId="77777777" w:rsidR="00C831B0" w:rsidRDefault="00C831B0">
      <w:pPr>
        <w:rPr>
          <w:rFonts w:ascii="Times New Roman" w:hAnsi="Times New Roman" w:cs="Times New Roman"/>
        </w:rPr>
      </w:pPr>
    </w:p>
    <w:p w14:paraId="2150B74D" w14:textId="03EBA5CE" w:rsidR="002512DB" w:rsidRDefault="002512DB">
      <w:pPr>
        <w:rPr>
          <w:rFonts w:ascii="Times New Roman" w:hAnsi="Times New Roman" w:cs="Times New Roman"/>
        </w:rPr>
      </w:pPr>
      <w:r>
        <w:rPr>
          <w:rFonts w:ascii="Times New Roman" w:hAnsi="Times New Roman" w:cs="Times New Roman"/>
        </w:rPr>
        <w:t xml:space="preserve">And yet students, you know, culturally we have that exactly backwards. Okay, so if I want to use my first-year comp course to create a curriculum that demonstrates that, it’s really tough. It’s just structurally difficult, even when we want to, to say, </w:t>
      </w:r>
      <w:r>
        <w:rPr>
          <w:rFonts w:ascii="Times New Roman" w:hAnsi="Times New Roman" w:cs="Times New Roman"/>
          <w:i/>
          <w:iCs/>
        </w:rPr>
        <w:t>Okay, what would a largely collaborative first-year comp experience look like?</w:t>
      </w:r>
      <w:r>
        <w:rPr>
          <w:rFonts w:ascii="Times New Roman" w:hAnsi="Times New Roman" w:cs="Times New Roman"/>
        </w:rPr>
        <w:t xml:space="preserve"> And that’s a piece of those stakeholders. It becomes so far outside of what the academy has been designed to do that it just, it’s a challenge for the ages, really.</w:t>
      </w:r>
    </w:p>
    <w:p w14:paraId="5234CFF2" w14:textId="4F1A4E22" w:rsidR="002512DB" w:rsidRDefault="002512DB">
      <w:pPr>
        <w:rPr>
          <w:rFonts w:ascii="Times New Roman" w:hAnsi="Times New Roman" w:cs="Times New Roman"/>
        </w:rPr>
      </w:pPr>
    </w:p>
    <w:p w14:paraId="36A9529E" w14:textId="28467BD9" w:rsidR="0096135E" w:rsidRDefault="008B6059" w:rsidP="0096135E">
      <w:pPr>
        <w:rPr>
          <w:rFonts w:ascii="Times New Roman" w:hAnsi="Times New Roman" w:cs="Times New Roman"/>
        </w:rPr>
      </w:pPr>
      <w:r>
        <w:rPr>
          <w:rFonts w:ascii="Times New Roman" w:hAnsi="Times New Roman" w:cs="Times New Roman"/>
          <w:b/>
          <w:bCs/>
        </w:rPr>
        <w:lastRenderedPageBreak/>
        <w:t xml:space="preserve">Jo-Anne: </w:t>
      </w:r>
      <w:r>
        <w:rPr>
          <w:rFonts w:ascii="Times New Roman" w:hAnsi="Times New Roman" w:cs="Times New Roman"/>
        </w:rPr>
        <w:t xml:space="preserve">Thank you. </w:t>
      </w:r>
      <w:r w:rsidR="0096135E" w:rsidRPr="0096135E">
        <w:rPr>
          <w:rFonts w:ascii="Times New Roman" w:hAnsi="Times New Roman" w:cs="Times New Roman"/>
        </w:rPr>
        <w:t xml:space="preserve">In the introduction to our collection, we allude to what Doug refers to in </w:t>
      </w:r>
      <w:r w:rsidR="009A48BC">
        <w:rPr>
          <w:rFonts w:ascii="Times New Roman" w:hAnsi="Times New Roman" w:cs="Times New Roman"/>
        </w:rPr>
        <w:t>his piece “</w:t>
      </w:r>
      <w:r w:rsidR="0096135E" w:rsidRPr="0096135E">
        <w:rPr>
          <w:rFonts w:ascii="Times New Roman" w:hAnsi="Times New Roman" w:cs="Times New Roman"/>
        </w:rPr>
        <w:t>What is First-Year Composition” as FYC’s “public charter,” a charter based upon the misinformed notion that FYC should and can teach students to write “correctly</w:t>
      </w:r>
      <w:r w:rsidR="009A48BC">
        <w:rPr>
          <w:rFonts w:ascii="Times New Roman" w:hAnsi="Times New Roman" w:cs="Times New Roman"/>
        </w:rPr>
        <w:t>.</w:t>
      </w:r>
      <w:r w:rsidR="0096135E" w:rsidRPr="0096135E">
        <w:rPr>
          <w:rFonts w:ascii="Times New Roman" w:hAnsi="Times New Roman" w:cs="Times New Roman"/>
        </w:rPr>
        <w:t>”</w:t>
      </w:r>
      <w:r w:rsidR="009A48BC">
        <w:rPr>
          <w:rFonts w:ascii="Times New Roman" w:hAnsi="Times New Roman" w:cs="Times New Roman"/>
        </w:rPr>
        <w:t xml:space="preserve"> And </w:t>
      </w:r>
      <w:proofErr w:type="gramStart"/>
      <w:r w:rsidR="009A48BC">
        <w:rPr>
          <w:rFonts w:ascii="Times New Roman" w:hAnsi="Times New Roman" w:cs="Times New Roman"/>
        </w:rPr>
        <w:t>so</w:t>
      </w:r>
      <w:proofErr w:type="gramEnd"/>
      <w:r w:rsidR="009A48BC">
        <w:rPr>
          <w:rFonts w:ascii="Times New Roman" w:hAnsi="Times New Roman" w:cs="Times New Roman"/>
        </w:rPr>
        <w:t xml:space="preserve"> it’s predicated on the </w:t>
      </w:r>
      <w:r w:rsidR="0096135E" w:rsidRPr="0096135E">
        <w:rPr>
          <w:rFonts w:ascii="Times New Roman" w:hAnsi="Times New Roman" w:cs="Times New Roman"/>
        </w:rPr>
        <w:t>perception of FYC courses as skills workshops. While we can’t expect the public</w:t>
      </w:r>
      <w:r w:rsidR="009A48BC">
        <w:rPr>
          <w:rFonts w:ascii="Times New Roman" w:hAnsi="Times New Roman" w:cs="Times New Roman"/>
        </w:rPr>
        <w:t xml:space="preserve">, </w:t>
      </w:r>
      <w:r w:rsidR="0096135E" w:rsidRPr="0096135E">
        <w:rPr>
          <w:rFonts w:ascii="Times New Roman" w:hAnsi="Times New Roman" w:cs="Times New Roman"/>
        </w:rPr>
        <w:t>including even our colleagues and institutions’ administrators</w:t>
      </w:r>
      <w:r w:rsidR="009A48BC">
        <w:rPr>
          <w:rFonts w:ascii="Times New Roman" w:hAnsi="Times New Roman" w:cs="Times New Roman"/>
        </w:rPr>
        <w:t>,</w:t>
      </w:r>
      <w:r w:rsidR="0096135E" w:rsidRPr="0096135E">
        <w:rPr>
          <w:rFonts w:ascii="Times New Roman" w:hAnsi="Times New Roman" w:cs="Times New Roman"/>
        </w:rPr>
        <w:t xml:space="preserve"> to be familiar </w:t>
      </w:r>
      <w:r w:rsidR="009A48BC">
        <w:rPr>
          <w:rFonts w:ascii="Times New Roman" w:hAnsi="Times New Roman" w:cs="Times New Roman"/>
        </w:rPr>
        <w:t xml:space="preserve">with the </w:t>
      </w:r>
      <w:r w:rsidR="0096135E" w:rsidRPr="0096135E">
        <w:rPr>
          <w:rFonts w:ascii="Times New Roman" w:hAnsi="Times New Roman" w:cs="Times New Roman"/>
        </w:rPr>
        <w:t>composition scholarship and research from the past</w:t>
      </w:r>
      <w:r w:rsidR="009A48BC">
        <w:rPr>
          <w:rFonts w:ascii="Times New Roman" w:hAnsi="Times New Roman" w:cs="Times New Roman"/>
        </w:rPr>
        <w:t xml:space="preserve"> fifty-</w:t>
      </w:r>
      <w:r w:rsidR="0096135E" w:rsidRPr="0096135E">
        <w:rPr>
          <w:rFonts w:ascii="Times New Roman" w:hAnsi="Times New Roman" w:cs="Times New Roman"/>
        </w:rPr>
        <w:t>plus years that have resulted in deeper and more nuanced understandings of writing, we can resist this public charter and disrupt the status quo. What are some ways that the pedagogies that you share in your chapter</w:t>
      </w:r>
      <w:r w:rsidR="009A48BC">
        <w:rPr>
          <w:rFonts w:ascii="Times New Roman" w:hAnsi="Times New Roman" w:cs="Times New Roman"/>
        </w:rPr>
        <w:t>s</w:t>
      </w:r>
      <w:r w:rsidR="0096135E" w:rsidRPr="0096135E">
        <w:rPr>
          <w:rFonts w:ascii="Times New Roman" w:hAnsi="Times New Roman" w:cs="Times New Roman"/>
        </w:rPr>
        <w:t xml:space="preserve"> disrupt the status quo and</w:t>
      </w:r>
      <w:r w:rsidR="009A48BC">
        <w:rPr>
          <w:rFonts w:ascii="Times New Roman" w:hAnsi="Times New Roman" w:cs="Times New Roman"/>
        </w:rPr>
        <w:t>, therefore,</w:t>
      </w:r>
      <w:r w:rsidR="0096135E" w:rsidRPr="0096135E">
        <w:rPr>
          <w:rFonts w:ascii="Times New Roman" w:hAnsi="Times New Roman" w:cs="Times New Roman"/>
        </w:rPr>
        <w:t xml:space="preserve"> resist the public charter? </w:t>
      </w:r>
    </w:p>
    <w:p w14:paraId="3309F745" w14:textId="205FD7D4" w:rsidR="009A48BC" w:rsidRDefault="009A48BC" w:rsidP="0096135E">
      <w:pPr>
        <w:rPr>
          <w:rFonts w:ascii="Times New Roman" w:hAnsi="Times New Roman" w:cs="Times New Roman"/>
        </w:rPr>
      </w:pPr>
    </w:p>
    <w:p w14:paraId="56FA358B" w14:textId="77777777" w:rsidR="00C831B0" w:rsidRDefault="009A48BC" w:rsidP="0096135E">
      <w:pPr>
        <w:rPr>
          <w:rFonts w:ascii="Times New Roman" w:hAnsi="Times New Roman" w:cs="Times New Roman"/>
        </w:rPr>
      </w:pPr>
      <w:r>
        <w:rPr>
          <w:rFonts w:ascii="Times New Roman" w:hAnsi="Times New Roman" w:cs="Times New Roman"/>
          <w:b/>
          <w:bCs/>
        </w:rPr>
        <w:t xml:space="preserve">Doug: </w:t>
      </w:r>
      <w:r>
        <w:rPr>
          <w:rFonts w:ascii="Times New Roman" w:hAnsi="Times New Roman" w:cs="Times New Roman"/>
        </w:rPr>
        <w:t xml:space="preserve">Well, I think what I most want to see in my composition pedagogy is rejection of the cultural premise that there’s this fundamental writing skills that FYC is supposed to re-mediate. So, in comp pedagogy, I think we should be rejecting out of hand the myth that typically </w:t>
      </w:r>
      <w:r>
        <w:rPr>
          <w:rFonts w:ascii="Times New Roman" w:hAnsi="Times New Roman" w:cs="Times New Roman"/>
          <w:i/>
          <w:iCs/>
        </w:rPr>
        <w:t>College students can’t write</w:t>
      </w:r>
      <w:r>
        <w:rPr>
          <w:rFonts w:ascii="Times New Roman" w:hAnsi="Times New Roman" w:cs="Times New Roman"/>
        </w:rPr>
        <w:t xml:space="preserve"> or that </w:t>
      </w:r>
      <w:r>
        <w:rPr>
          <w:rFonts w:ascii="Times New Roman" w:hAnsi="Times New Roman" w:cs="Times New Roman"/>
          <w:i/>
          <w:iCs/>
        </w:rPr>
        <w:t>They can’t complete a sentence,</w:t>
      </w:r>
      <w:r>
        <w:rPr>
          <w:rFonts w:ascii="Times New Roman" w:hAnsi="Times New Roman" w:cs="Times New Roman"/>
        </w:rPr>
        <w:t xml:space="preserve"> and if you’re experience is anything like mine, even very well-meaning faculty around campus, that’s sort of what they know to say about students writing is, you know,</w:t>
      </w:r>
      <w:r>
        <w:rPr>
          <w:rFonts w:ascii="Times New Roman" w:hAnsi="Times New Roman" w:cs="Times New Roman"/>
          <w:i/>
          <w:iCs/>
        </w:rPr>
        <w:t xml:space="preserve"> </w:t>
      </w:r>
      <w:proofErr w:type="gramStart"/>
      <w:r>
        <w:rPr>
          <w:rFonts w:ascii="Times New Roman" w:hAnsi="Times New Roman" w:cs="Times New Roman"/>
          <w:i/>
          <w:iCs/>
        </w:rPr>
        <w:t>My</w:t>
      </w:r>
      <w:proofErr w:type="gramEnd"/>
      <w:r>
        <w:rPr>
          <w:rFonts w:ascii="Times New Roman" w:hAnsi="Times New Roman" w:cs="Times New Roman"/>
          <w:i/>
          <w:iCs/>
        </w:rPr>
        <w:t xml:space="preserve"> students can’t complete a sentence. </w:t>
      </w:r>
      <w:r>
        <w:rPr>
          <w:rFonts w:ascii="Times New Roman" w:hAnsi="Times New Roman" w:cs="Times New Roman"/>
        </w:rPr>
        <w:t xml:space="preserve">Even when they’re not blaming that on us, that’s just the perceived condition. </w:t>
      </w:r>
    </w:p>
    <w:p w14:paraId="07A7066C" w14:textId="77777777" w:rsidR="00C831B0" w:rsidRDefault="00C831B0" w:rsidP="0096135E">
      <w:pPr>
        <w:rPr>
          <w:rFonts w:ascii="Times New Roman" w:hAnsi="Times New Roman" w:cs="Times New Roman"/>
        </w:rPr>
      </w:pPr>
    </w:p>
    <w:p w14:paraId="17E7979D" w14:textId="57E502BE" w:rsidR="009A48BC" w:rsidRDefault="009A48BC" w:rsidP="0096135E">
      <w:pPr>
        <w:rPr>
          <w:rFonts w:ascii="Times New Roman" w:hAnsi="Times New Roman" w:cs="Times New Roman"/>
        </w:rPr>
      </w:pPr>
      <w:proofErr w:type="gramStart"/>
      <w:r>
        <w:rPr>
          <w:rFonts w:ascii="Times New Roman" w:hAnsi="Times New Roman" w:cs="Times New Roman"/>
        </w:rPr>
        <w:t>So</w:t>
      </w:r>
      <w:proofErr w:type="gramEnd"/>
      <w:r>
        <w:rPr>
          <w:rFonts w:ascii="Times New Roman" w:hAnsi="Times New Roman" w:cs="Times New Roman"/>
        </w:rPr>
        <w:t xml:space="preserve"> the thing that I most want to move away from the idea that a writing course is supposed to be designed to fix students and instead say, </w:t>
      </w:r>
      <w:r>
        <w:rPr>
          <w:rFonts w:ascii="Times New Roman" w:hAnsi="Times New Roman" w:cs="Times New Roman"/>
          <w:i/>
          <w:iCs/>
        </w:rPr>
        <w:t>That’s not a thing. That’s not a real, actual problem.</w:t>
      </w:r>
      <w:r>
        <w:rPr>
          <w:rFonts w:ascii="Times New Roman" w:hAnsi="Times New Roman" w:cs="Times New Roman"/>
        </w:rPr>
        <w:t xml:space="preserve"> </w:t>
      </w:r>
      <w:proofErr w:type="gramStart"/>
      <w:r>
        <w:rPr>
          <w:rFonts w:ascii="Times New Roman" w:hAnsi="Times New Roman" w:cs="Times New Roman"/>
        </w:rPr>
        <w:t>So</w:t>
      </w:r>
      <w:proofErr w:type="gramEnd"/>
      <w:r>
        <w:rPr>
          <w:rFonts w:ascii="Times New Roman" w:hAnsi="Times New Roman" w:cs="Times New Roman"/>
        </w:rPr>
        <w:t xml:space="preserve"> if we have this space, what can we do with it? </w:t>
      </w:r>
      <w:proofErr w:type="gramStart"/>
      <w:r>
        <w:rPr>
          <w:rFonts w:ascii="Times New Roman" w:hAnsi="Times New Roman" w:cs="Times New Roman"/>
        </w:rPr>
        <w:t>So</w:t>
      </w:r>
      <w:proofErr w:type="gramEnd"/>
      <w:r>
        <w:rPr>
          <w:rFonts w:ascii="Times New Roman" w:hAnsi="Times New Roman" w:cs="Times New Roman"/>
        </w:rPr>
        <w:t xml:space="preserve"> and then I wind up writing about double standards because they’re so powerful in exposing the brokenness that so many of our sort of cultural scripts about writing, that difference between the stories culturally that we tell ourselves about how writing works versus what we actually do as professionals when we write become such a powerful lens on what is it that we need to resist or reject. And then the comp course becomes a scene for doing that. </w:t>
      </w:r>
    </w:p>
    <w:p w14:paraId="7499EB39" w14:textId="4FE1E4AA" w:rsidR="009A48BC" w:rsidRDefault="009A48BC" w:rsidP="0096135E">
      <w:pPr>
        <w:rPr>
          <w:rFonts w:ascii="Times New Roman" w:hAnsi="Times New Roman" w:cs="Times New Roman"/>
        </w:rPr>
      </w:pPr>
    </w:p>
    <w:p w14:paraId="280E2A72" w14:textId="1EB45704" w:rsidR="009A48BC" w:rsidRDefault="009A48BC" w:rsidP="0096135E">
      <w:pPr>
        <w:rPr>
          <w:rFonts w:ascii="Times New Roman" w:hAnsi="Times New Roman" w:cs="Times New Roman"/>
        </w:rPr>
      </w:pPr>
      <w:r>
        <w:rPr>
          <w:rFonts w:ascii="Times New Roman" w:hAnsi="Times New Roman" w:cs="Times New Roman"/>
          <w:b/>
          <w:bCs/>
        </w:rPr>
        <w:t xml:space="preserve">Ann: </w:t>
      </w:r>
      <w:r>
        <w:rPr>
          <w:rFonts w:ascii="Times New Roman" w:hAnsi="Times New Roman" w:cs="Times New Roman"/>
        </w:rPr>
        <w:t>Similarly, building on what Doug said about rejecting the notion that students can’t write or that something is wrong with students, one of the things I try to do in my chapter is really argue that students have valuable input on what their writing education should look like. So similar to how Doug is saying students aren’t something broken that needs to be fixed, I also think students themselves have been writers for many, many years and often have something valuable to say about how they can develop as writers. They often are strong at identifying the areas where they want to flex their writing muscles a little more.</w:t>
      </w:r>
    </w:p>
    <w:p w14:paraId="077AE4DC" w14:textId="10AA8C70" w:rsidR="009A48BC" w:rsidRDefault="009A48BC" w:rsidP="0096135E">
      <w:pPr>
        <w:rPr>
          <w:rFonts w:ascii="Times New Roman" w:hAnsi="Times New Roman" w:cs="Times New Roman"/>
        </w:rPr>
      </w:pPr>
    </w:p>
    <w:p w14:paraId="0AB83CCD" w14:textId="77777777" w:rsidR="00C831B0" w:rsidRDefault="009A48BC" w:rsidP="009B33A8">
      <w:pPr>
        <w:rPr>
          <w:rFonts w:ascii="Times New Roman" w:hAnsi="Times New Roman" w:cs="Times New Roman"/>
        </w:rPr>
      </w:pPr>
      <w:r>
        <w:rPr>
          <w:rFonts w:ascii="Times New Roman" w:hAnsi="Times New Roman" w:cs="Times New Roman"/>
          <w:b/>
          <w:bCs/>
        </w:rPr>
        <w:t xml:space="preserve">Jo-Anne: </w:t>
      </w:r>
      <w:r>
        <w:rPr>
          <w:rFonts w:ascii="Times New Roman" w:hAnsi="Times New Roman" w:cs="Times New Roman"/>
        </w:rPr>
        <w:t xml:space="preserve">Thank you, Ann and Doug. </w:t>
      </w:r>
      <w:r w:rsidR="009B33A8" w:rsidRPr="009B33A8">
        <w:rPr>
          <w:rFonts w:ascii="Times New Roman" w:hAnsi="Times New Roman" w:cs="Times New Roman"/>
        </w:rPr>
        <w:t xml:space="preserve">In Chapter 1, Doug investigates multiple disconnects between what institutions of higher education say we value in writing—the values we communicate to students in the classroom—and what we actually value, or the ways faculty actually engage in writing practices. He writes about how we expect student writers to work independently and </w:t>
      </w:r>
      <w:r w:rsidR="009B33A8">
        <w:rPr>
          <w:rFonts w:ascii="Times New Roman" w:hAnsi="Times New Roman" w:cs="Times New Roman"/>
        </w:rPr>
        <w:t xml:space="preserve">to </w:t>
      </w:r>
      <w:r w:rsidR="009B33A8" w:rsidRPr="009B33A8">
        <w:rPr>
          <w:rFonts w:ascii="Times New Roman" w:hAnsi="Times New Roman" w:cs="Times New Roman"/>
        </w:rPr>
        <w:t>document any help they receive yet work collaboratively ourselves. We expect students to read a new range of published texts each semester, digest them, and incorporate them into writing</w:t>
      </w:r>
      <w:r w:rsidR="009B33A8">
        <w:rPr>
          <w:rFonts w:ascii="Times New Roman" w:hAnsi="Times New Roman" w:cs="Times New Roman"/>
        </w:rPr>
        <w:t xml:space="preserve">, </w:t>
      </w:r>
      <w:r w:rsidR="009B33A8" w:rsidRPr="009B33A8">
        <w:rPr>
          <w:rFonts w:ascii="Times New Roman" w:hAnsi="Times New Roman" w:cs="Times New Roman"/>
        </w:rPr>
        <w:t xml:space="preserve">while we ourselves may work with similar sources across multiple projects and build a network of source texts over time. </w:t>
      </w:r>
    </w:p>
    <w:p w14:paraId="1DFA6064" w14:textId="77777777" w:rsidR="00C831B0" w:rsidRDefault="00C831B0" w:rsidP="009B33A8">
      <w:pPr>
        <w:rPr>
          <w:rFonts w:ascii="Times New Roman" w:hAnsi="Times New Roman" w:cs="Times New Roman"/>
        </w:rPr>
      </w:pPr>
    </w:p>
    <w:p w14:paraId="00C5E3AF" w14:textId="5901327A" w:rsidR="009B33A8" w:rsidRDefault="009B33A8" w:rsidP="009B33A8">
      <w:pPr>
        <w:rPr>
          <w:rFonts w:ascii="Times New Roman" w:hAnsi="Times New Roman" w:cs="Times New Roman"/>
        </w:rPr>
      </w:pPr>
      <w:r w:rsidRPr="009B33A8">
        <w:rPr>
          <w:rFonts w:ascii="Times New Roman" w:hAnsi="Times New Roman" w:cs="Times New Roman"/>
        </w:rPr>
        <w:t xml:space="preserve">Doug calls for us to make the investigation of actual academic writing practices the focus of FYC. His </w:t>
      </w:r>
      <w:r>
        <w:rPr>
          <w:rFonts w:ascii="Times New Roman" w:hAnsi="Times New Roman" w:cs="Times New Roman"/>
        </w:rPr>
        <w:t>W</w:t>
      </w:r>
      <w:r w:rsidRPr="009B33A8">
        <w:rPr>
          <w:rFonts w:ascii="Times New Roman" w:hAnsi="Times New Roman" w:cs="Times New Roman"/>
        </w:rPr>
        <w:t>riting</w:t>
      </w:r>
      <w:r>
        <w:rPr>
          <w:rFonts w:ascii="Times New Roman" w:hAnsi="Times New Roman" w:cs="Times New Roman"/>
        </w:rPr>
        <w:t xml:space="preserve"> A</w:t>
      </w:r>
      <w:r w:rsidRPr="009B33A8">
        <w:rPr>
          <w:rFonts w:ascii="Times New Roman" w:hAnsi="Times New Roman" w:cs="Times New Roman"/>
        </w:rPr>
        <w:t>bout</w:t>
      </w:r>
      <w:r>
        <w:rPr>
          <w:rFonts w:ascii="Times New Roman" w:hAnsi="Times New Roman" w:cs="Times New Roman"/>
        </w:rPr>
        <w:t xml:space="preserve"> W</w:t>
      </w:r>
      <w:r w:rsidRPr="009B33A8">
        <w:rPr>
          <w:rFonts w:ascii="Times New Roman" w:hAnsi="Times New Roman" w:cs="Times New Roman"/>
        </w:rPr>
        <w:t xml:space="preserve">riting approach tasks students with demystifying academic writing </w:t>
      </w:r>
      <w:r w:rsidRPr="009B33A8">
        <w:rPr>
          <w:rFonts w:ascii="Times New Roman" w:hAnsi="Times New Roman" w:cs="Times New Roman"/>
        </w:rPr>
        <w:lastRenderedPageBreak/>
        <w:t>for themselves</w:t>
      </w:r>
      <w:r>
        <w:rPr>
          <w:rFonts w:ascii="Times New Roman" w:hAnsi="Times New Roman" w:cs="Times New Roman"/>
        </w:rPr>
        <w:t>. S</w:t>
      </w:r>
      <w:r w:rsidRPr="009B33A8">
        <w:rPr>
          <w:rFonts w:ascii="Times New Roman" w:hAnsi="Times New Roman" w:cs="Times New Roman"/>
        </w:rPr>
        <w:t>tudents become the investigators who interview</w:t>
      </w:r>
      <w:r>
        <w:rPr>
          <w:rFonts w:ascii="Times New Roman" w:hAnsi="Times New Roman" w:cs="Times New Roman"/>
        </w:rPr>
        <w:t xml:space="preserve"> </w:t>
      </w:r>
      <w:r w:rsidRPr="009B33A8">
        <w:rPr>
          <w:rFonts w:ascii="Times New Roman" w:hAnsi="Times New Roman" w:cs="Times New Roman"/>
        </w:rPr>
        <w:t xml:space="preserve">professional writers </w:t>
      </w:r>
      <w:r>
        <w:rPr>
          <w:rFonts w:ascii="Times New Roman" w:hAnsi="Times New Roman" w:cs="Times New Roman"/>
        </w:rPr>
        <w:t>and</w:t>
      </w:r>
      <w:r w:rsidRPr="009B33A8">
        <w:rPr>
          <w:rFonts w:ascii="Times New Roman" w:hAnsi="Times New Roman" w:cs="Times New Roman"/>
        </w:rPr>
        <w:t xml:space="preserve"> analyz</w:t>
      </w:r>
      <w:r>
        <w:rPr>
          <w:rFonts w:ascii="Times New Roman" w:hAnsi="Times New Roman" w:cs="Times New Roman"/>
        </w:rPr>
        <w:t>e</w:t>
      </w:r>
      <w:r w:rsidRPr="009B33A8">
        <w:rPr>
          <w:rFonts w:ascii="Times New Roman" w:hAnsi="Times New Roman" w:cs="Times New Roman"/>
        </w:rPr>
        <w:t xml:space="preserve"> writing artifacts. Doug, what connections do you see between this pedagogical approach and student agency? And how might this approach benefit students when they move beyond </w:t>
      </w:r>
      <w:r>
        <w:rPr>
          <w:rFonts w:ascii="Times New Roman" w:hAnsi="Times New Roman" w:cs="Times New Roman"/>
        </w:rPr>
        <w:t>first-year composition</w:t>
      </w:r>
      <w:r w:rsidRPr="009B33A8">
        <w:rPr>
          <w:rFonts w:ascii="Times New Roman" w:hAnsi="Times New Roman" w:cs="Times New Roman"/>
        </w:rPr>
        <w:t>?</w:t>
      </w:r>
    </w:p>
    <w:p w14:paraId="53D40436" w14:textId="07B263BD" w:rsidR="009B33A8" w:rsidRDefault="009B33A8" w:rsidP="009B33A8">
      <w:pPr>
        <w:rPr>
          <w:rFonts w:ascii="Times New Roman" w:hAnsi="Times New Roman" w:cs="Times New Roman"/>
        </w:rPr>
      </w:pPr>
    </w:p>
    <w:p w14:paraId="176F4C8C" w14:textId="77777777" w:rsidR="00C831B0" w:rsidRDefault="009B33A8">
      <w:pPr>
        <w:rPr>
          <w:rFonts w:ascii="Times New Roman" w:hAnsi="Times New Roman" w:cs="Times New Roman"/>
        </w:rPr>
      </w:pPr>
      <w:r>
        <w:rPr>
          <w:rFonts w:ascii="Times New Roman" w:hAnsi="Times New Roman" w:cs="Times New Roman"/>
          <w:b/>
          <w:bCs/>
        </w:rPr>
        <w:t xml:space="preserve">Doug: </w:t>
      </w:r>
      <w:r w:rsidR="00FC28C5">
        <w:rPr>
          <w:rFonts w:ascii="Times New Roman" w:hAnsi="Times New Roman" w:cs="Times New Roman"/>
        </w:rPr>
        <w:t xml:space="preserve">I like that you bring up agency. I’m reminded of a word that goes right with it, which is “agenda,” right? Same root. And I’m always struck by how, as you work through various levels of education, essentially, at each increasing level students regain some of their own agenda. But you know every high school to undergrad to graduate, master’s to PhD, every step of it is, you get back a little of your own ability as a student to say, </w:t>
      </w:r>
      <w:r w:rsidR="00FC28C5">
        <w:rPr>
          <w:rFonts w:ascii="Times New Roman" w:hAnsi="Times New Roman" w:cs="Times New Roman"/>
          <w:i/>
          <w:iCs/>
        </w:rPr>
        <w:t>I was interested in this. Or that.</w:t>
      </w:r>
      <w:r w:rsidR="00FC28C5">
        <w:rPr>
          <w:rFonts w:ascii="Times New Roman" w:hAnsi="Times New Roman" w:cs="Times New Roman"/>
        </w:rPr>
        <w:t xml:space="preserve"> And to shape your own set of students. </w:t>
      </w:r>
      <w:proofErr w:type="gramStart"/>
      <w:r w:rsidR="00FC28C5">
        <w:rPr>
          <w:rFonts w:ascii="Times New Roman" w:hAnsi="Times New Roman" w:cs="Times New Roman"/>
        </w:rPr>
        <w:t>So</w:t>
      </w:r>
      <w:proofErr w:type="gramEnd"/>
      <w:r w:rsidR="00FC28C5">
        <w:rPr>
          <w:rFonts w:ascii="Times New Roman" w:hAnsi="Times New Roman" w:cs="Times New Roman"/>
        </w:rPr>
        <w:t xml:space="preserve"> there’s a way in which I might actually characterize Writing About Writing approaches, when they use that sort of, you know, choose your own adventure, study what matters to you approach, it’s almost like they’re bringing a little bit of the grad school agenda down into the undergrad and even to the first-year level of that. </w:t>
      </w:r>
    </w:p>
    <w:p w14:paraId="3D9420CD" w14:textId="77777777" w:rsidR="00C831B0" w:rsidRDefault="00C831B0">
      <w:pPr>
        <w:rPr>
          <w:rFonts w:ascii="Times New Roman" w:hAnsi="Times New Roman" w:cs="Times New Roman"/>
        </w:rPr>
      </w:pPr>
    </w:p>
    <w:p w14:paraId="045571F5" w14:textId="77777777" w:rsidR="00C831B0" w:rsidRDefault="00FC28C5">
      <w:pPr>
        <w:rPr>
          <w:rFonts w:ascii="Times New Roman" w:hAnsi="Times New Roman" w:cs="Times New Roman"/>
        </w:rPr>
      </w:pPr>
      <w:proofErr w:type="gramStart"/>
      <w:r>
        <w:rPr>
          <w:rFonts w:ascii="Times New Roman" w:hAnsi="Times New Roman" w:cs="Times New Roman"/>
        </w:rPr>
        <w:t>So</w:t>
      </w:r>
      <w:proofErr w:type="gramEnd"/>
      <w:r>
        <w:rPr>
          <w:rFonts w:ascii="Times New Roman" w:hAnsi="Times New Roman" w:cs="Times New Roman"/>
        </w:rPr>
        <w:t xml:space="preserve"> I’m always interested in the limitations around that. Students don’t get to choose not to research. They don’t get to opt out of a project altogether. That’s still a real constraint that more or less maps onto a professional writing experience. Even as a </w:t>
      </w:r>
      <w:r w:rsidR="00FE6CAA">
        <w:rPr>
          <w:rFonts w:ascii="Times New Roman" w:hAnsi="Times New Roman" w:cs="Times New Roman"/>
        </w:rPr>
        <w:t xml:space="preserve">pretty experienced now professional writer myself, there are some projects that I can reject and there are some projects that I can’t. That I do, the farther I go, the more selective I get about my own agenda, what I will accept for working on, what I won’t. </w:t>
      </w:r>
    </w:p>
    <w:p w14:paraId="1BF57F7F" w14:textId="77777777" w:rsidR="00C831B0" w:rsidRDefault="00C831B0">
      <w:pPr>
        <w:rPr>
          <w:rFonts w:ascii="Times New Roman" w:hAnsi="Times New Roman" w:cs="Times New Roman"/>
        </w:rPr>
      </w:pPr>
    </w:p>
    <w:p w14:paraId="2163A284" w14:textId="77777777" w:rsidR="00C831B0" w:rsidRDefault="00FE6CAA">
      <w:pPr>
        <w:rPr>
          <w:rFonts w:ascii="Times New Roman" w:hAnsi="Times New Roman" w:cs="Times New Roman"/>
        </w:rPr>
      </w:pPr>
      <w:proofErr w:type="gramStart"/>
      <w:r>
        <w:rPr>
          <w:rFonts w:ascii="Times New Roman" w:hAnsi="Times New Roman" w:cs="Times New Roman"/>
        </w:rPr>
        <w:t>So</w:t>
      </w:r>
      <w:proofErr w:type="gramEnd"/>
      <w:r>
        <w:rPr>
          <w:rFonts w:ascii="Times New Roman" w:hAnsi="Times New Roman" w:cs="Times New Roman"/>
        </w:rPr>
        <w:t xml:space="preserve"> there’s always that kind of play, and I think the more we’re doing to design pedagogies that create relatively the same kinds of agency and agenda-shifting as students might encounter outside a writing classroom, I think the better we’re doing at transforming from that, you know, </w:t>
      </w:r>
      <w:r>
        <w:rPr>
          <w:rFonts w:ascii="Times New Roman" w:hAnsi="Times New Roman" w:cs="Times New Roman"/>
          <w:i/>
          <w:iCs/>
        </w:rPr>
        <w:t xml:space="preserve">Thou art the student. Here’s your little box. Fit in it. </w:t>
      </w:r>
      <w:r>
        <w:rPr>
          <w:rFonts w:ascii="Times New Roman" w:hAnsi="Times New Roman" w:cs="Times New Roman"/>
        </w:rPr>
        <w:t xml:space="preserve">To something that’s a lot more likely to make sense and to have meaning later on. And I think, Jo-Anne, that gets to the second part of your question. </w:t>
      </w:r>
    </w:p>
    <w:p w14:paraId="6F4788DE" w14:textId="77777777" w:rsidR="00C831B0" w:rsidRDefault="00C831B0">
      <w:pPr>
        <w:rPr>
          <w:rFonts w:ascii="Times New Roman" w:hAnsi="Times New Roman" w:cs="Times New Roman"/>
        </w:rPr>
      </w:pPr>
    </w:p>
    <w:p w14:paraId="7D785207" w14:textId="77777777" w:rsidR="00C831B0" w:rsidRDefault="00FE6CAA">
      <w:pPr>
        <w:rPr>
          <w:rFonts w:ascii="Times New Roman" w:hAnsi="Times New Roman" w:cs="Times New Roman"/>
        </w:rPr>
      </w:pPr>
      <w:r>
        <w:rPr>
          <w:rFonts w:ascii="Times New Roman" w:hAnsi="Times New Roman" w:cs="Times New Roman"/>
        </w:rPr>
        <w:t xml:space="preserve">We’re kind of banking on, in I think both the designs that I’m talking about and the designs that Ann is talking about, I think we’re banking on the idea that students will learn patterns of thought, habits of mind, and get used to particular approaches to problem solving that they’ll recognize later on—this is the transfer piece—that they’ll recognize later on as, </w:t>
      </w:r>
      <w:r>
        <w:rPr>
          <w:rFonts w:ascii="Times New Roman" w:hAnsi="Times New Roman" w:cs="Times New Roman"/>
          <w:i/>
          <w:iCs/>
        </w:rPr>
        <w:t>Oh, I can do that here, too.</w:t>
      </w:r>
      <w:r>
        <w:rPr>
          <w:rFonts w:ascii="Times New Roman" w:hAnsi="Times New Roman" w:cs="Times New Roman"/>
        </w:rPr>
        <w:t xml:space="preserve"> This question of agency, depending on how we define it. If we mean the ability to sort of knowledgably make meaningful decisions and have an impact on people around us, if that’s agency, then knowledge really is power</w:t>
      </w:r>
      <w:r w:rsidR="00E20CD7">
        <w:rPr>
          <w:rFonts w:ascii="Times New Roman" w:hAnsi="Times New Roman" w:cs="Times New Roman"/>
        </w:rPr>
        <w:t xml:space="preserve"> in some ways. It, you do get this sense of, you know there’s a huge agency in even knowing how to ask the right questions at the right time. </w:t>
      </w:r>
    </w:p>
    <w:p w14:paraId="0B1C8E6A" w14:textId="77777777" w:rsidR="00C831B0" w:rsidRDefault="00C831B0">
      <w:pPr>
        <w:rPr>
          <w:rFonts w:ascii="Times New Roman" w:hAnsi="Times New Roman" w:cs="Times New Roman"/>
        </w:rPr>
      </w:pPr>
    </w:p>
    <w:p w14:paraId="42C8EEC5" w14:textId="0BEFD720" w:rsidR="00AB4A4C" w:rsidRDefault="00E20CD7">
      <w:pPr>
        <w:rPr>
          <w:rFonts w:ascii="Times New Roman" w:hAnsi="Times New Roman" w:cs="Times New Roman"/>
        </w:rPr>
      </w:pPr>
      <w:r>
        <w:rPr>
          <w:rFonts w:ascii="Times New Roman" w:hAnsi="Times New Roman" w:cs="Times New Roman"/>
        </w:rPr>
        <w:t xml:space="preserve">There’s further agency in being able to set one’s expectations as a writer to be realistic for the setting that one is entering. You know, something as simple as knowing that a question is necessary, like, </w:t>
      </w:r>
      <w:proofErr w:type="gramStart"/>
      <w:r>
        <w:rPr>
          <w:rFonts w:ascii="Times New Roman" w:hAnsi="Times New Roman" w:cs="Times New Roman"/>
          <w:i/>
          <w:iCs/>
        </w:rPr>
        <w:t>What</w:t>
      </w:r>
      <w:proofErr w:type="gramEnd"/>
      <w:r>
        <w:rPr>
          <w:rFonts w:ascii="Times New Roman" w:hAnsi="Times New Roman" w:cs="Times New Roman"/>
          <w:i/>
          <w:iCs/>
        </w:rPr>
        <w:t xml:space="preserve"> is this TPS report? Can you tell me who reads it? What they do with it? Where does it go from here?</w:t>
      </w:r>
      <w:r>
        <w:rPr>
          <w:rFonts w:ascii="Times New Roman" w:hAnsi="Times New Roman" w:cs="Times New Roman"/>
        </w:rPr>
        <w:t xml:space="preserve"> A student, if we can teach them that it’s not a weakness to ask a question like that, it’s responsible. It’s a sign of writerly power to ask a question like that because you know that you have the right to that question. It doesn’t make sense not to ask that question. If we can teach that, then that seems to be an idea that they can take from the class and be a little fearless later on. Whether it’s an assignment that a professor </w:t>
      </w:r>
      <w:r w:rsidR="00963CEA">
        <w:rPr>
          <w:rFonts w:ascii="Times New Roman" w:hAnsi="Times New Roman" w:cs="Times New Roman"/>
        </w:rPr>
        <w:t xml:space="preserve">is giving that they don’t </w:t>
      </w:r>
      <w:r w:rsidR="00963CEA">
        <w:rPr>
          <w:rFonts w:ascii="Times New Roman" w:hAnsi="Times New Roman" w:cs="Times New Roman"/>
        </w:rPr>
        <w:lastRenderedPageBreak/>
        <w:t>understand or they’re entering a professional position or a workforce in some way. They have the power to know that it’s okay to ask those questions.</w:t>
      </w:r>
    </w:p>
    <w:p w14:paraId="3D2B097A" w14:textId="3717575A" w:rsidR="00963CEA" w:rsidRDefault="00963CEA">
      <w:pPr>
        <w:rPr>
          <w:rFonts w:ascii="Times New Roman" w:hAnsi="Times New Roman" w:cs="Times New Roman"/>
        </w:rPr>
      </w:pPr>
    </w:p>
    <w:p w14:paraId="157EDCDB" w14:textId="6D8F843D" w:rsidR="00963CEA" w:rsidRDefault="00FE685C">
      <w:pPr>
        <w:rPr>
          <w:rFonts w:ascii="Times New Roman" w:hAnsi="Times New Roman" w:cs="Times New Roman"/>
        </w:rPr>
      </w:pPr>
      <w:r>
        <w:rPr>
          <w:rFonts w:ascii="Times New Roman" w:hAnsi="Times New Roman" w:cs="Times New Roman"/>
          <w:b/>
          <w:bCs/>
        </w:rPr>
        <w:t xml:space="preserve">Ann: </w:t>
      </w:r>
      <w:r>
        <w:rPr>
          <w:rFonts w:ascii="Times New Roman" w:hAnsi="Times New Roman" w:cs="Times New Roman"/>
        </w:rPr>
        <w:t xml:space="preserve">I love that you brought habits of mind into it. And </w:t>
      </w:r>
      <w:proofErr w:type="gramStart"/>
      <w:r>
        <w:rPr>
          <w:rFonts w:ascii="Times New Roman" w:hAnsi="Times New Roman" w:cs="Times New Roman"/>
        </w:rPr>
        <w:t>so</w:t>
      </w:r>
      <w:proofErr w:type="gramEnd"/>
      <w:r>
        <w:rPr>
          <w:rFonts w:ascii="Times New Roman" w:hAnsi="Times New Roman" w:cs="Times New Roman"/>
        </w:rPr>
        <w:t xml:space="preserve"> I know we all have in the back of our minds the eight habits of mind in </w:t>
      </w:r>
      <w:r>
        <w:rPr>
          <w:rFonts w:ascii="Times New Roman" w:hAnsi="Times New Roman" w:cs="Times New Roman"/>
          <w:i/>
          <w:iCs/>
        </w:rPr>
        <w:t>The Framework for Success in Postsecondary Writing.</w:t>
      </w:r>
      <w:r>
        <w:rPr>
          <w:rFonts w:ascii="Times New Roman" w:hAnsi="Times New Roman" w:cs="Times New Roman"/>
        </w:rPr>
        <w:t xml:space="preserve"> I love how you connected agency to the idea of responsibility, of course another habit of mind. As students have the power to create and enact their own agenda, they also have the responsibility to do so, to shape that agenda themselves instead of expecting that someone is always going to shape it for them.</w:t>
      </w:r>
    </w:p>
    <w:p w14:paraId="35D11C56" w14:textId="3238D29B" w:rsidR="00FE685C" w:rsidRDefault="00FE685C">
      <w:pPr>
        <w:rPr>
          <w:rFonts w:ascii="Times New Roman" w:hAnsi="Times New Roman" w:cs="Times New Roman"/>
        </w:rPr>
      </w:pPr>
    </w:p>
    <w:p w14:paraId="60B2C083" w14:textId="6D8FB9A8" w:rsidR="00FE685C" w:rsidRDefault="00FE685C" w:rsidP="00FE685C">
      <w:pPr>
        <w:rPr>
          <w:rFonts w:ascii="Times New Roman" w:hAnsi="Times New Roman" w:cs="Times New Roman"/>
        </w:rPr>
      </w:pPr>
      <w:r>
        <w:rPr>
          <w:rFonts w:ascii="Times New Roman" w:hAnsi="Times New Roman" w:cs="Times New Roman"/>
          <w:b/>
          <w:bCs/>
        </w:rPr>
        <w:t xml:space="preserve">Jo-Anne: </w:t>
      </w:r>
      <w:r>
        <w:rPr>
          <w:rFonts w:ascii="Times New Roman" w:hAnsi="Times New Roman" w:cs="Times New Roman"/>
        </w:rPr>
        <w:t xml:space="preserve">Thank you, Doug. </w:t>
      </w:r>
      <w:r w:rsidRPr="00FE685C">
        <w:rPr>
          <w:rFonts w:ascii="Times New Roman" w:hAnsi="Times New Roman" w:cs="Times New Roman"/>
        </w:rPr>
        <w:t xml:space="preserve">In Chapter 3, Ann advocates for giving student choices in how digital technologies are used in </w:t>
      </w:r>
      <w:r>
        <w:rPr>
          <w:rFonts w:ascii="Times New Roman" w:hAnsi="Times New Roman" w:cs="Times New Roman"/>
        </w:rPr>
        <w:t>first-year composition</w:t>
      </w:r>
      <w:r w:rsidRPr="00FE685C">
        <w:rPr>
          <w:rFonts w:ascii="Times New Roman" w:hAnsi="Times New Roman" w:cs="Times New Roman"/>
        </w:rPr>
        <w:t>. The students she interviewed shared experiences of having teachers prescribe when and how they could use digital tools in class, such as forbidding laptops or cell phones in the classroom. Their perspectives cause</w:t>
      </w:r>
      <w:r>
        <w:rPr>
          <w:rFonts w:ascii="Times New Roman" w:hAnsi="Times New Roman" w:cs="Times New Roman"/>
        </w:rPr>
        <w:t>d</w:t>
      </w:r>
      <w:r w:rsidRPr="00FE685C">
        <w:rPr>
          <w:rFonts w:ascii="Times New Roman" w:hAnsi="Times New Roman" w:cs="Times New Roman"/>
        </w:rPr>
        <w:t xml:space="preserve"> Ann to reflect on her own teaching in the chapter</w:t>
      </w:r>
      <w:r>
        <w:rPr>
          <w:rFonts w:ascii="Times New Roman" w:hAnsi="Times New Roman" w:cs="Times New Roman"/>
        </w:rPr>
        <w:t xml:space="preserve">. Ann, you advocate for drawing on student expertise in shaping </w:t>
      </w:r>
      <w:r w:rsidRPr="00FE685C">
        <w:rPr>
          <w:rFonts w:ascii="Times New Roman" w:hAnsi="Times New Roman" w:cs="Times New Roman"/>
        </w:rPr>
        <w:t xml:space="preserve">how technology can be used in </w:t>
      </w:r>
      <w:r>
        <w:rPr>
          <w:rFonts w:ascii="Times New Roman" w:hAnsi="Times New Roman" w:cs="Times New Roman"/>
        </w:rPr>
        <w:t>first-year composition</w:t>
      </w:r>
      <w:r w:rsidRPr="00FE685C">
        <w:rPr>
          <w:rFonts w:ascii="Times New Roman" w:hAnsi="Times New Roman" w:cs="Times New Roman"/>
        </w:rPr>
        <w:t>. In what ways beyond what you discuss in your chapter does this practice benefit your students? And are there any drawbacks to giving students this agency to shape classroom technology use?</w:t>
      </w:r>
    </w:p>
    <w:p w14:paraId="3DD24CA8" w14:textId="47D38ECA" w:rsidR="00FE685C" w:rsidRDefault="00FE685C" w:rsidP="00FE685C">
      <w:pPr>
        <w:rPr>
          <w:rFonts w:ascii="Times New Roman" w:hAnsi="Times New Roman" w:cs="Times New Roman"/>
        </w:rPr>
      </w:pPr>
    </w:p>
    <w:p w14:paraId="758C3657" w14:textId="77777777" w:rsidR="00C831B0" w:rsidRDefault="00FE685C" w:rsidP="00FE685C">
      <w:pPr>
        <w:rPr>
          <w:rFonts w:ascii="Times New Roman" w:hAnsi="Times New Roman" w:cs="Times New Roman"/>
          <w:i/>
          <w:iCs/>
        </w:rPr>
      </w:pPr>
      <w:r>
        <w:rPr>
          <w:rFonts w:ascii="Times New Roman" w:hAnsi="Times New Roman" w:cs="Times New Roman"/>
          <w:b/>
          <w:bCs/>
        </w:rPr>
        <w:t xml:space="preserve">Ann: </w:t>
      </w:r>
      <w:r w:rsidR="00E349B1">
        <w:rPr>
          <w:rFonts w:ascii="Times New Roman" w:hAnsi="Times New Roman" w:cs="Times New Roman"/>
        </w:rPr>
        <w:t xml:space="preserve">I would say, beyond what I discuss in the chapter, this practice of giving students agency to shape what digital technology looks like in the classroom has ended up really changing what in-class activities look like. So, some years ago, I was the type of teacher who would come to class with a lesson plan and then enact that lesson plan, and students would play along, I would hope. But now I’ve become much more a teacher who presents, you know, </w:t>
      </w:r>
      <w:proofErr w:type="gramStart"/>
      <w:r w:rsidR="00E349B1">
        <w:rPr>
          <w:rFonts w:ascii="Times New Roman" w:hAnsi="Times New Roman" w:cs="Times New Roman"/>
          <w:i/>
          <w:iCs/>
        </w:rPr>
        <w:t>Here’s</w:t>
      </w:r>
      <w:proofErr w:type="gramEnd"/>
      <w:r w:rsidR="00E349B1">
        <w:rPr>
          <w:rFonts w:ascii="Times New Roman" w:hAnsi="Times New Roman" w:cs="Times New Roman"/>
          <w:i/>
          <w:iCs/>
        </w:rPr>
        <w:t xml:space="preserve"> what we’re going to be working with today. Here’s what I have planned for us. </w:t>
      </w:r>
      <w:r w:rsidR="00E349B1">
        <w:rPr>
          <w:rFonts w:ascii="Times New Roman" w:hAnsi="Times New Roman" w:cs="Times New Roman"/>
        </w:rPr>
        <w:t xml:space="preserve">But then I’ve created a classroom environment where it’s quite common for students to say, </w:t>
      </w:r>
      <w:r w:rsidR="00E349B1">
        <w:rPr>
          <w:rFonts w:ascii="Times New Roman" w:hAnsi="Times New Roman" w:cs="Times New Roman"/>
          <w:i/>
          <w:iCs/>
        </w:rPr>
        <w:t xml:space="preserve">Well, what if we did it this way? </w:t>
      </w:r>
      <w:r w:rsidR="00E349B1">
        <w:rPr>
          <w:rFonts w:ascii="Times New Roman" w:hAnsi="Times New Roman" w:cs="Times New Roman"/>
        </w:rPr>
        <w:t xml:space="preserve">Or </w:t>
      </w:r>
      <w:r w:rsidR="00E349B1">
        <w:rPr>
          <w:rFonts w:ascii="Times New Roman" w:hAnsi="Times New Roman" w:cs="Times New Roman"/>
          <w:i/>
          <w:iCs/>
        </w:rPr>
        <w:t xml:space="preserve">What if we tried tackling it from another angle? </w:t>
      </w:r>
    </w:p>
    <w:p w14:paraId="6AEB565C" w14:textId="77777777" w:rsidR="00C831B0" w:rsidRDefault="00C831B0" w:rsidP="00FE685C">
      <w:pPr>
        <w:rPr>
          <w:rFonts w:ascii="Times New Roman" w:hAnsi="Times New Roman" w:cs="Times New Roman"/>
          <w:i/>
          <w:iCs/>
        </w:rPr>
      </w:pPr>
    </w:p>
    <w:p w14:paraId="45B01CD7" w14:textId="77777777" w:rsidR="00C831B0" w:rsidRDefault="00E349B1" w:rsidP="00FE685C">
      <w:pPr>
        <w:rPr>
          <w:rFonts w:ascii="Times New Roman" w:hAnsi="Times New Roman" w:cs="Times New Roman"/>
        </w:rPr>
      </w:pPr>
      <w:proofErr w:type="gramStart"/>
      <w:r>
        <w:rPr>
          <w:rFonts w:ascii="Times New Roman" w:hAnsi="Times New Roman" w:cs="Times New Roman"/>
        </w:rPr>
        <w:t>So</w:t>
      </w:r>
      <w:proofErr w:type="gramEnd"/>
      <w:r>
        <w:rPr>
          <w:rFonts w:ascii="Times New Roman" w:hAnsi="Times New Roman" w:cs="Times New Roman"/>
        </w:rPr>
        <w:t xml:space="preserve"> here’s a real simple example. I’m thinking of a recent first-year composition course where I had students get into a small-group activity and just in setting up the activity, I said, </w:t>
      </w:r>
      <w:proofErr w:type="gramStart"/>
      <w:r>
        <w:rPr>
          <w:rFonts w:ascii="Times New Roman" w:hAnsi="Times New Roman" w:cs="Times New Roman"/>
          <w:i/>
          <w:iCs/>
        </w:rPr>
        <w:t>Could</w:t>
      </w:r>
      <w:proofErr w:type="gramEnd"/>
      <w:r>
        <w:rPr>
          <w:rFonts w:ascii="Times New Roman" w:hAnsi="Times New Roman" w:cs="Times New Roman"/>
          <w:i/>
          <w:iCs/>
        </w:rPr>
        <w:t xml:space="preserve"> you each, in your groups, designate a note taker, have the note taker take notes, and then at the end, we’ll come together, you’ll share your notes. </w:t>
      </w:r>
      <w:r>
        <w:rPr>
          <w:rFonts w:ascii="Times New Roman" w:hAnsi="Times New Roman" w:cs="Times New Roman"/>
        </w:rPr>
        <w:t xml:space="preserve">And you know, someone just spoke up and said, </w:t>
      </w:r>
      <w:r>
        <w:rPr>
          <w:rFonts w:ascii="Times New Roman" w:hAnsi="Times New Roman" w:cs="Times New Roman"/>
          <w:i/>
          <w:iCs/>
        </w:rPr>
        <w:t>Wait, hang on. What if we just used the discussion board space on Canvas. Let’s all put our notes there and then we can share and respond to them there.</w:t>
      </w:r>
      <w:r>
        <w:rPr>
          <w:rFonts w:ascii="Times New Roman" w:hAnsi="Times New Roman" w:cs="Times New Roman"/>
        </w:rPr>
        <w:t xml:space="preserve"> Of course! </w:t>
      </w:r>
      <w:r w:rsidR="00934443">
        <w:rPr>
          <w:rFonts w:ascii="Times New Roman" w:hAnsi="Times New Roman" w:cs="Times New Roman"/>
        </w:rPr>
        <w:t xml:space="preserve">That made so much more sense. </w:t>
      </w:r>
    </w:p>
    <w:p w14:paraId="4A086A18" w14:textId="77777777" w:rsidR="00C831B0" w:rsidRDefault="00C831B0" w:rsidP="00FE685C">
      <w:pPr>
        <w:rPr>
          <w:rFonts w:ascii="Times New Roman" w:hAnsi="Times New Roman" w:cs="Times New Roman"/>
        </w:rPr>
      </w:pPr>
    </w:p>
    <w:p w14:paraId="510C9F48" w14:textId="77777777" w:rsidR="00C831B0" w:rsidRDefault="00934443" w:rsidP="00FE685C">
      <w:pPr>
        <w:rPr>
          <w:rFonts w:ascii="Times New Roman" w:hAnsi="Times New Roman" w:cs="Times New Roman"/>
        </w:rPr>
      </w:pPr>
      <w:proofErr w:type="gramStart"/>
      <w:r>
        <w:rPr>
          <w:rFonts w:ascii="Times New Roman" w:hAnsi="Times New Roman" w:cs="Times New Roman"/>
        </w:rPr>
        <w:t>So</w:t>
      </w:r>
      <w:proofErr w:type="gramEnd"/>
      <w:r>
        <w:rPr>
          <w:rFonts w:ascii="Times New Roman" w:hAnsi="Times New Roman" w:cs="Times New Roman"/>
        </w:rPr>
        <w:t xml:space="preserve"> I would say that’s been the biggest change in my pedagogy </w:t>
      </w:r>
      <w:r w:rsidR="00C8532A">
        <w:rPr>
          <w:rFonts w:ascii="Times New Roman" w:hAnsi="Times New Roman" w:cs="Times New Roman"/>
        </w:rPr>
        <w:t xml:space="preserve">is students really speaking up. Students’ technology use outside of class is such a big part of their writing lives that part of this pedagogy means that students’ digital writing practices become part of the writing that we’re discussing in class. We know that many researchers have </w:t>
      </w:r>
      <w:r w:rsidR="00021A3D">
        <w:rPr>
          <w:rFonts w:ascii="Times New Roman" w:hAnsi="Times New Roman" w:cs="Times New Roman"/>
        </w:rPr>
        <w:t>looked at how literacy practices across contexts influence each other. I find that by talking openly in the classroom about how we use digital technologies</w:t>
      </w:r>
      <w:r w:rsidR="0088524B">
        <w:rPr>
          <w:rFonts w:ascii="Times New Roman" w:hAnsi="Times New Roman" w:cs="Times New Roman"/>
        </w:rPr>
        <w:t xml:space="preserve">, we’re often then talking more and more about students’ digital writing practices, and then that helps them see how the writing practices influence each other. </w:t>
      </w:r>
    </w:p>
    <w:p w14:paraId="0924C360" w14:textId="77777777" w:rsidR="00C831B0" w:rsidRDefault="00C831B0" w:rsidP="00FE685C">
      <w:pPr>
        <w:rPr>
          <w:rFonts w:ascii="Times New Roman" w:hAnsi="Times New Roman" w:cs="Times New Roman"/>
        </w:rPr>
      </w:pPr>
    </w:p>
    <w:p w14:paraId="1A19B958" w14:textId="6C475F6D" w:rsidR="00FE685C" w:rsidRDefault="0088524B" w:rsidP="00FE685C">
      <w:pPr>
        <w:rPr>
          <w:rFonts w:ascii="Times New Roman" w:hAnsi="Times New Roman" w:cs="Times New Roman"/>
        </w:rPr>
      </w:pPr>
      <w:r>
        <w:rPr>
          <w:rFonts w:ascii="Times New Roman" w:hAnsi="Times New Roman" w:cs="Times New Roman"/>
        </w:rPr>
        <w:t xml:space="preserve">You did ask, though, about any drawbacks. And I would say </w:t>
      </w:r>
      <w:r w:rsidR="008064EA">
        <w:rPr>
          <w:rFonts w:ascii="Times New Roman" w:hAnsi="Times New Roman" w:cs="Times New Roman"/>
        </w:rPr>
        <w:t xml:space="preserve">the one drawback is, a number of students’ digital writing practices tend to be informal and tend to be writing that’s completed, in </w:t>
      </w:r>
      <w:r w:rsidR="008064EA">
        <w:rPr>
          <w:rFonts w:ascii="Times New Roman" w:hAnsi="Times New Roman" w:cs="Times New Roman"/>
        </w:rPr>
        <w:lastRenderedPageBreak/>
        <w:t xml:space="preserve">my cases, off the cuff, for a rhetorical purpose but not necessarily with a revision practice, for example. And </w:t>
      </w:r>
      <w:proofErr w:type="gramStart"/>
      <w:r w:rsidR="008064EA">
        <w:rPr>
          <w:rFonts w:ascii="Times New Roman" w:hAnsi="Times New Roman" w:cs="Times New Roman"/>
        </w:rPr>
        <w:t>so</w:t>
      </w:r>
      <w:proofErr w:type="gramEnd"/>
      <w:r w:rsidR="008064EA">
        <w:rPr>
          <w:rFonts w:ascii="Times New Roman" w:hAnsi="Times New Roman" w:cs="Times New Roman"/>
        </w:rPr>
        <w:t xml:space="preserve"> the one risk, I think, in bringing students’ digital writing practices into the classroom is that it might risk suggesting to students that the writing that we’re doing for academic purposes can also be done in an off-the-cuff manner. But really, again, I think that just presents an opportunity for us to talk about how writing works.</w:t>
      </w:r>
    </w:p>
    <w:p w14:paraId="59B002C5" w14:textId="50672338" w:rsidR="008064EA" w:rsidRDefault="008064EA" w:rsidP="00FE685C">
      <w:pPr>
        <w:rPr>
          <w:rFonts w:ascii="Times New Roman" w:hAnsi="Times New Roman" w:cs="Times New Roman"/>
        </w:rPr>
      </w:pPr>
    </w:p>
    <w:p w14:paraId="1FBF0B84" w14:textId="5CDFE300" w:rsidR="008064EA" w:rsidRDefault="008064EA" w:rsidP="00FE685C">
      <w:pPr>
        <w:rPr>
          <w:rFonts w:ascii="Times New Roman" w:hAnsi="Times New Roman" w:cs="Times New Roman"/>
        </w:rPr>
      </w:pPr>
      <w:r>
        <w:rPr>
          <w:rFonts w:ascii="Times New Roman" w:hAnsi="Times New Roman" w:cs="Times New Roman"/>
          <w:b/>
          <w:bCs/>
        </w:rPr>
        <w:t xml:space="preserve">Doug: </w:t>
      </w:r>
      <w:r>
        <w:rPr>
          <w:rFonts w:ascii="Times New Roman" w:hAnsi="Times New Roman" w:cs="Times New Roman"/>
        </w:rPr>
        <w:t xml:space="preserve">I really like your example of the, you know, the student realizing, </w:t>
      </w:r>
      <w:proofErr w:type="gramStart"/>
      <w:r>
        <w:rPr>
          <w:rFonts w:ascii="Times New Roman" w:hAnsi="Times New Roman" w:cs="Times New Roman"/>
          <w:i/>
          <w:iCs/>
        </w:rPr>
        <w:t>Or</w:t>
      </w:r>
      <w:proofErr w:type="gramEnd"/>
      <w:r>
        <w:rPr>
          <w:rFonts w:ascii="Times New Roman" w:hAnsi="Times New Roman" w:cs="Times New Roman"/>
          <w:i/>
          <w:iCs/>
        </w:rPr>
        <w:t xml:space="preserve"> we could just do it on Canvas and share the notes and stuff.</w:t>
      </w:r>
      <w:r>
        <w:rPr>
          <w:rFonts w:ascii="Times New Roman" w:hAnsi="Times New Roman" w:cs="Times New Roman"/>
        </w:rPr>
        <w:t xml:space="preserve"> It strikes me as an example of, there are so many instances, especially in my experience</w:t>
      </w:r>
      <w:r w:rsidR="002C096B">
        <w:rPr>
          <w:rFonts w:ascii="Times New Roman" w:hAnsi="Times New Roman" w:cs="Times New Roman"/>
        </w:rPr>
        <w:t xml:space="preserve"> around technology, where the students are able to make connections about what things can be used for that sort of never occur to me. I’m just, I tend to be less flexible in my thinking about. And this I see more and more around Google Docs particularly, as students come up with ideas for how to use that. And I’m curious, you connect this with agency, and you connect this with innovation, right? This sense that we don’t have a static sort of set of knowledge of writing so much as if we can get in a space with students and sort of all bring what we’ve got, these new ideas can emerge. Am I hearing you well, is that something that you, that becomes a goal for your pedagogy as well?</w:t>
      </w:r>
    </w:p>
    <w:p w14:paraId="14145796" w14:textId="6B70CE23" w:rsidR="002C096B" w:rsidRDefault="002C096B" w:rsidP="00FE685C">
      <w:pPr>
        <w:rPr>
          <w:rFonts w:ascii="Times New Roman" w:hAnsi="Times New Roman" w:cs="Times New Roman"/>
        </w:rPr>
      </w:pPr>
    </w:p>
    <w:p w14:paraId="61A0FAD7" w14:textId="61DCA437" w:rsidR="002C096B" w:rsidRDefault="002C096B" w:rsidP="00FE685C">
      <w:pPr>
        <w:rPr>
          <w:rFonts w:ascii="Times New Roman" w:hAnsi="Times New Roman" w:cs="Times New Roman"/>
        </w:rPr>
      </w:pPr>
      <w:r>
        <w:rPr>
          <w:rFonts w:ascii="Times New Roman" w:hAnsi="Times New Roman" w:cs="Times New Roman"/>
          <w:b/>
          <w:bCs/>
        </w:rPr>
        <w:t xml:space="preserve">Ann: </w:t>
      </w:r>
      <w:r>
        <w:rPr>
          <w:rFonts w:ascii="Times New Roman" w:hAnsi="Times New Roman" w:cs="Times New Roman"/>
        </w:rPr>
        <w:t xml:space="preserve">Yes. Absolutely. Your saying that makes me think of, you know, when we talk about teaching certain digital tools in the classroom, we’ll often hear people say, </w:t>
      </w:r>
      <w:r>
        <w:rPr>
          <w:rFonts w:ascii="Times New Roman" w:hAnsi="Times New Roman" w:cs="Times New Roman"/>
          <w:i/>
          <w:iCs/>
        </w:rPr>
        <w:t xml:space="preserve">Well, why teach students how to use a particular program when that program might not exist by the time they graduate? </w:t>
      </w:r>
      <w:r>
        <w:rPr>
          <w:rFonts w:ascii="Times New Roman" w:hAnsi="Times New Roman" w:cs="Times New Roman"/>
        </w:rPr>
        <w:t xml:space="preserve">But I think you’re right, that innovation, the ability to see that any writing task isn’t going to have a “teacher,” I’m putting that word in quotation marks, who’s going to tell you exactly what tools to use but that you’re going to draw on your own resources to figure out what tools best fit your rhetorical purpose. </w:t>
      </w:r>
    </w:p>
    <w:p w14:paraId="6894ADFE" w14:textId="2AE3C536" w:rsidR="002C096B" w:rsidRDefault="002C096B" w:rsidP="00FE685C">
      <w:pPr>
        <w:rPr>
          <w:rFonts w:ascii="Times New Roman" w:hAnsi="Times New Roman" w:cs="Times New Roman"/>
        </w:rPr>
      </w:pPr>
    </w:p>
    <w:p w14:paraId="7F117D95" w14:textId="7B97AF3F" w:rsidR="002C096B" w:rsidRDefault="002C096B" w:rsidP="00FE685C">
      <w:pPr>
        <w:rPr>
          <w:rFonts w:ascii="Times New Roman" w:hAnsi="Times New Roman" w:cs="Times New Roman"/>
        </w:rPr>
      </w:pPr>
      <w:r>
        <w:rPr>
          <w:rFonts w:ascii="Times New Roman" w:hAnsi="Times New Roman" w:cs="Times New Roman"/>
          <w:b/>
          <w:bCs/>
        </w:rPr>
        <w:t xml:space="preserve">Doug: </w:t>
      </w:r>
      <w:r>
        <w:rPr>
          <w:rFonts w:ascii="Times New Roman" w:hAnsi="Times New Roman" w:cs="Times New Roman"/>
        </w:rPr>
        <w:t>Neat.</w:t>
      </w:r>
    </w:p>
    <w:p w14:paraId="052B0A3D" w14:textId="5F346D7F" w:rsidR="002C096B" w:rsidRDefault="002C096B" w:rsidP="00FE685C">
      <w:pPr>
        <w:rPr>
          <w:rFonts w:ascii="Times New Roman" w:hAnsi="Times New Roman" w:cs="Times New Roman"/>
        </w:rPr>
      </w:pPr>
    </w:p>
    <w:p w14:paraId="471DB1F9" w14:textId="77777777" w:rsidR="00C831B0" w:rsidRDefault="002C096B" w:rsidP="00FE685C">
      <w:pPr>
        <w:rPr>
          <w:rFonts w:ascii="Times New Roman" w:hAnsi="Times New Roman" w:cs="Times New Roman"/>
        </w:rPr>
      </w:pPr>
      <w:r>
        <w:rPr>
          <w:rFonts w:ascii="Times New Roman" w:hAnsi="Times New Roman" w:cs="Times New Roman"/>
          <w:b/>
          <w:bCs/>
        </w:rPr>
        <w:t>Jo-Anne:</w:t>
      </w:r>
      <w:r>
        <w:rPr>
          <w:rFonts w:ascii="Times New Roman" w:hAnsi="Times New Roman" w:cs="Times New Roman"/>
        </w:rPr>
        <w:t xml:space="preserve"> </w:t>
      </w:r>
      <w:r w:rsidR="008C02AE">
        <w:rPr>
          <w:rFonts w:ascii="Times New Roman" w:hAnsi="Times New Roman" w:cs="Times New Roman"/>
        </w:rPr>
        <w:t xml:space="preserve">The final question asks you to refocus yourself, rather than thinking about your first-year composition students, to think about yourself, as first-year composition teachers. </w:t>
      </w:r>
      <w:proofErr w:type="gramStart"/>
      <w:r w:rsidR="008C02AE">
        <w:rPr>
          <w:rFonts w:ascii="Times New Roman" w:hAnsi="Times New Roman" w:cs="Times New Roman"/>
        </w:rPr>
        <w:t>So</w:t>
      </w:r>
      <w:proofErr w:type="gramEnd"/>
      <w:r w:rsidR="008C02AE">
        <w:rPr>
          <w:rFonts w:ascii="Times New Roman" w:hAnsi="Times New Roman" w:cs="Times New Roman"/>
        </w:rPr>
        <w:t xml:space="preserve"> in your first-year composition courses, you both promote and affirm students’ identities as writers by providing a measure of autonomy through a kind of abrogation of authority. </w:t>
      </w:r>
    </w:p>
    <w:p w14:paraId="3E5F7DBB" w14:textId="77777777" w:rsidR="00C831B0" w:rsidRDefault="00C831B0" w:rsidP="00FE685C">
      <w:pPr>
        <w:rPr>
          <w:rFonts w:ascii="Times New Roman" w:hAnsi="Times New Roman" w:cs="Times New Roman"/>
        </w:rPr>
      </w:pPr>
    </w:p>
    <w:p w14:paraId="464B5AFF" w14:textId="77777777" w:rsidR="00C831B0" w:rsidRDefault="008C02AE" w:rsidP="00FE685C">
      <w:pPr>
        <w:rPr>
          <w:rFonts w:ascii="Times New Roman" w:hAnsi="Times New Roman" w:cs="Times New Roman"/>
        </w:rPr>
      </w:pPr>
      <w:r>
        <w:rPr>
          <w:rFonts w:ascii="Times New Roman" w:hAnsi="Times New Roman" w:cs="Times New Roman"/>
        </w:rPr>
        <w:t xml:space="preserve">Doug’s students, for example, are invited to design their own inquiry projects based upon their own questions about writing and writers, questions that are designed to shed light on professional writing practices. Ann, you advocate for the importance of drawing on student expertise when considering how to utilize digital technology in first-year composition, while acknowledging the wealth of knowledge that students bring with them to the course. </w:t>
      </w:r>
    </w:p>
    <w:p w14:paraId="0AB00819" w14:textId="77777777" w:rsidR="00C831B0" w:rsidRDefault="00C831B0" w:rsidP="00FE685C">
      <w:pPr>
        <w:rPr>
          <w:rFonts w:ascii="Times New Roman" w:hAnsi="Times New Roman" w:cs="Times New Roman"/>
        </w:rPr>
      </w:pPr>
    </w:p>
    <w:p w14:paraId="1B439369" w14:textId="53EEC95E" w:rsidR="00B34C47" w:rsidRDefault="008C02AE" w:rsidP="00FE685C">
      <w:pPr>
        <w:rPr>
          <w:rFonts w:ascii="Times New Roman" w:hAnsi="Times New Roman" w:cs="Times New Roman"/>
        </w:rPr>
      </w:pPr>
      <w:r>
        <w:rPr>
          <w:rFonts w:ascii="Times New Roman" w:hAnsi="Times New Roman" w:cs="Times New Roman"/>
        </w:rPr>
        <w:t xml:space="preserve">While the collection is focused on the development of students’ writerly identities, it appears that the pedagogies that you share in your chapters necessitated a kind of rethinking of your identities as teachers of first-year composition. </w:t>
      </w:r>
      <w:r w:rsidR="000F1AB8">
        <w:rPr>
          <w:rFonts w:ascii="Times New Roman" w:hAnsi="Times New Roman" w:cs="Times New Roman"/>
        </w:rPr>
        <w:t>Would you please talk for a moment about how your identities as teachers of first-year composition have evolved as a result of the scholarship that you share in your chapters?</w:t>
      </w:r>
    </w:p>
    <w:p w14:paraId="569DE2EC" w14:textId="02176B6E" w:rsidR="000F1AB8" w:rsidRDefault="000F1AB8" w:rsidP="00FE685C">
      <w:pPr>
        <w:rPr>
          <w:rFonts w:ascii="Times New Roman" w:hAnsi="Times New Roman" w:cs="Times New Roman"/>
        </w:rPr>
      </w:pPr>
    </w:p>
    <w:p w14:paraId="33C12AA3" w14:textId="77777777" w:rsidR="00C831B0" w:rsidRDefault="000F1AB8" w:rsidP="00FE685C">
      <w:pPr>
        <w:rPr>
          <w:rFonts w:ascii="Times New Roman" w:hAnsi="Times New Roman" w:cs="Times New Roman"/>
          <w:bCs/>
        </w:rPr>
      </w:pPr>
      <w:r>
        <w:rPr>
          <w:rFonts w:ascii="Times New Roman" w:hAnsi="Times New Roman" w:cs="Times New Roman"/>
          <w:b/>
        </w:rPr>
        <w:t xml:space="preserve">Doug: </w:t>
      </w:r>
      <w:r>
        <w:rPr>
          <w:rFonts w:ascii="Times New Roman" w:hAnsi="Times New Roman" w:cs="Times New Roman"/>
          <w:bCs/>
        </w:rPr>
        <w:t>That ma</w:t>
      </w:r>
      <w:r w:rsidR="008D29E3">
        <w:rPr>
          <w:rFonts w:ascii="Times New Roman" w:hAnsi="Times New Roman" w:cs="Times New Roman"/>
          <w:bCs/>
        </w:rPr>
        <w:t xml:space="preserve">kes me think about sort of statements of teaching philosophy that I’ve written along the way. And back to a few years ago, probably actually the very beginning of my sort of </w:t>
      </w:r>
      <w:r w:rsidR="008D29E3">
        <w:rPr>
          <w:rFonts w:ascii="Times New Roman" w:hAnsi="Times New Roman" w:cs="Times New Roman"/>
          <w:bCs/>
        </w:rPr>
        <w:lastRenderedPageBreak/>
        <w:t xml:space="preserve">first professor positions, where I was trying to come to grips with the difference between teaching </w:t>
      </w:r>
      <w:r w:rsidR="00401104">
        <w:rPr>
          <w:rFonts w:ascii="Times New Roman" w:hAnsi="Times New Roman" w:cs="Times New Roman"/>
          <w:bCs/>
        </w:rPr>
        <w:t>and learning. And starting to recognize that there’s quite a gulf and quite a gap there</w:t>
      </w:r>
      <w:r w:rsidR="001B1B16">
        <w:rPr>
          <w:rFonts w:ascii="Times New Roman" w:hAnsi="Times New Roman" w:cs="Times New Roman"/>
          <w:bCs/>
        </w:rPr>
        <w:t xml:space="preserve"> and that, as a teacher, I was less interested in teaching than I was in learning as an outcome, as a what is the point of being here. And then trying to figure out if there isn’t a sort of direct linkage between “I teach” and “they learn,” then what’s actually happening? And </w:t>
      </w:r>
      <w:proofErr w:type="gramStart"/>
      <w:r w:rsidR="001B1B16">
        <w:rPr>
          <w:rFonts w:ascii="Times New Roman" w:hAnsi="Times New Roman" w:cs="Times New Roman"/>
          <w:bCs/>
        </w:rPr>
        <w:t>so</w:t>
      </w:r>
      <w:proofErr w:type="gramEnd"/>
      <w:r w:rsidR="001B1B16">
        <w:rPr>
          <w:rFonts w:ascii="Times New Roman" w:hAnsi="Times New Roman" w:cs="Times New Roman"/>
          <w:bCs/>
        </w:rPr>
        <w:t xml:space="preserve"> I think one of my sort of big identity moves along the way has been the growing awareness of, I don’t so much teach as I create spaces and experiences in which students would have the opportunity to think about and engage and practice with and thus learn in the areas that I’m hoping that they will. </w:t>
      </w:r>
    </w:p>
    <w:p w14:paraId="15E3A358" w14:textId="77777777" w:rsidR="00C831B0" w:rsidRDefault="00C831B0" w:rsidP="00FE685C">
      <w:pPr>
        <w:rPr>
          <w:rFonts w:ascii="Times New Roman" w:hAnsi="Times New Roman" w:cs="Times New Roman"/>
          <w:bCs/>
        </w:rPr>
      </w:pPr>
    </w:p>
    <w:p w14:paraId="2B2BEC57" w14:textId="77777777" w:rsidR="00C831B0" w:rsidRDefault="001B1B16" w:rsidP="00FE685C">
      <w:pPr>
        <w:rPr>
          <w:rFonts w:ascii="Times New Roman" w:hAnsi="Times New Roman" w:cs="Times New Roman"/>
          <w:bCs/>
        </w:rPr>
      </w:pPr>
      <w:r>
        <w:rPr>
          <w:rFonts w:ascii="Times New Roman" w:hAnsi="Times New Roman" w:cs="Times New Roman"/>
          <w:bCs/>
        </w:rPr>
        <w:t>But it becomes quite non-direct in ways that I didn’t used to think of when I began as a teacher. And then I kind of link that as well to, to that difference, this comes back to rejecting composition’s public charter. In composition’s public charter, we’re really supposed to be judges, we’re supposed to be gatekeepers¸ you know, all of these metaphors that were being interrogated particularly back in the ‘70s and early ‘80s</w:t>
      </w:r>
      <w:r w:rsidR="00D35CD6">
        <w:rPr>
          <w:rFonts w:ascii="Times New Roman" w:hAnsi="Times New Roman" w:cs="Times New Roman"/>
          <w:bCs/>
        </w:rPr>
        <w:t xml:space="preserve">. And the alternative to that is access, right? I’ve come to think of my own role as a teacher as an opening, as a way of, in some ways, getting out of the way, as a way of enabling, as a way of helping students become more themselves rather than become more what the academy wants them to be. </w:t>
      </w:r>
    </w:p>
    <w:p w14:paraId="30E735FC" w14:textId="77777777" w:rsidR="00C831B0" w:rsidRDefault="00C831B0" w:rsidP="00FE685C">
      <w:pPr>
        <w:rPr>
          <w:rFonts w:ascii="Times New Roman" w:hAnsi="Times New Roman" w:cs="Times New Roman"/>
          <w:bCs/>
        </w:rPr>
      </w:pPr>
    </w:p>
    <w:p w14:paraId="21B8962D" w14:textId="77777777" w:rsidR="00C831B0" w:rsidRDefault="00D35CD6" w:rsidP="00FE685C">
      <w:pPr>
        <w:rPr>
          <w:rFonts w:ascii="Times New Roman" w:hAnsi="Times New Roman" w:cs="Times New Roman"/>
          <w:bCs/>
        </w:rPr>
      </w:pPr>
      <w:r>
        <w:rPr>
          <w:rFonts w:ascii="Times New Roman" w:hAnsi="Times New Roman" w:cs="Times New Roman"/>
          <w:bCs/>
        </w:rPr>
        <w:t xml:space="preserve">And that’s in the roots of our field, right? It’s Murray, and </w:t>
      </w:r>
      <w:proofErr w:type="spellStart"/>
      <w:r>
        <w:rPr>
          <w:rFonts w:ascii="Times New Roman" w:hAnsi="Times New Roman" w:cs="Times New Roman"/>
          <w:bCs/>
        </w:rPr>
        <w:t>Macrorie</w:t>
      </w:r>
      <w:proofErr w:type="spellEnd"/>
      <w:r>
        <w:rPr>
          <w:rFonts w:ascii="Times New Roman" w:hAnsi="Times New Roman" w:cs="Times New Roman"/>
          <w:bCs/>
        </w:rPr>
        <w:t>, and Elbow.</w:t>
      </w:r>
      <w:r w:rsidR="006F043F">
        <w:rPr>
          <w:rFonts w:ascii="Times New Roman" w:hAnsi="Times New Roman" w:cs="Times New Roman"/>
          <w:bCs/>
        </w:rPr>
        <w:t xml:space="preserve"> It’s Susan Miller rejecting the notion that first-year comp is about cleaning students up and purifying them. And that shift, that fundamental difference between a judging and an accessing sort of mission, for comp, it takes a different teacher identity. It just takes a really big shift, I think. </w:t>
      </w:r>
      <w:r w:rsidR="007471CB">
        <w:rPr>
          <w:rFonts w:ascii="Times New Roman" w:hAnsi="Times New Roman" w:cs="Times New Roman"/>
          <w:bCs/>
        </w:rPr>
        <w:t>It has something to do, and this probably comes back to this abrogation of authority that you’re talking about, Jo-Anne. It has something to do with rejecting hierarchy</w:t>
      </w:r>
      <w:r w:rsidR="00B46A82">
        <w:rPr>
          <w:rFonts w:ascii="Times New Roman" w:hAnsi="Times New Roman" w:cs="Times New Roman"/>
          <w:bCs/>
        </w:rPr>
        <w:t xml:space="preserve"> in ways that institutions are, frankly, not good at. </w:t>
      </w:r>
    </w:p>
    <w:p w14:paraId="7F213E26" w14:textId="77777777" w:rsidR="00C831B0" w:rsidRDefault="00C831B0" w:rsidP="00FE685C">
      <w:pPr>
        <w:rPr>
          <w:rFonts w:ascii="Times New Roman" w:hAnsi="Times New Roman" w:cs="Times New Roman"/>
          <w:bCs/>
        </w:rPr>
      </w:pPr>
    </w:p>
    <w:p w14:paraId="15C5CAF2" w14:textId="77777777" w:rsidR="00C831B0" w:rsidRDefault="00B46A82" w:rsidP="00FE685C">
      <w:pPr>
        <w:rPr>
          <w:rFonts w:ascii="Times New Roman" w:hAnsi="Times New Roman" w:cs="Times New Roman"/>
          <w:bCs/>
          <w:i/>
          <w:iCs/>
        </w:rPr>
      </w:pPr>
      <w:r>
        <w:rPr>
          <w:rFonts w:ascii="Times New Roman" w:hAnsi="Times New Roman" w:cs="Times New Roman"/>
          <w:bCs/>
        </w:rPr>
        <w:t xml:space="preserve">The whole point of an institution is to create a superstructure, to put hierarchies into place, and institutions, I think, get really uncomfortable when that hierarchy gets interrogated or when we say, you know, </w:t>
      </w:r>
      <w:proofErr w:type="gramStart"/>
      <w:r>
        <w:rPr>
          <w:rFonts w:ascii="Times New Roman" w:hAnsi="Times New Roman" w:cs="Times New Roman"/>
          <w:bCs/>
          <w:i/>
          <w:iCs/>
        </w:rPr>
        <w:t>That</w:t>
      </w:r>
      <w:proofErr w:type="gramEnd"/>
      <w:r>
        <w:rPr>
          <w:rFonts w:ascii="Times New Roman" w:hAnsi="Times New Roman" w:cs="Times New Roman"/>
          <w:bCs/>
          <w:i/>
          <w:iCs/>
        </w:rPr>
        <w:t xml:space="preserve"> was, it was never the point.</w:t>
      </w:r>
      <w:r>
        <w:rPr>
          <w:rFonts w:ascii="Times New Roman" w:hAnsi="Times New Roman" w:cs="Times New Roman"/>
          <w:bCs/>
        </w:rPr>
        <w:t xml:space="preserve"> So probably the last, the other piece of my identity that’s really had to shift is to figure out teacher-student </w:t>
      </w:r>
      <w:r w:rsidR="00910DCB">
        <w:rPr>
          <w:rFonts w:ascii="Times New Roman" w:hAnsi="Times New Roman" w:cs="Times New Roman"/>
          <w:bCs/>
        </w:rPr>
        <w:t xml:space="preserve">boundaries. The institution prescribes particular interaction that it’s okay to have, and so teachers are supposed to give assignments and supposed to direct and supposed to be the authorities and these kinds of things. And the institution doesn’t have a lot of space for a teacher to say, </w:t>
      </w:r>
      <w:proofErr w:type="gramStart"/>
      <w:r w:rsidR="00910DCB">
        <w:rPr>
          <w:rFonts w:ascii="Times New Roman" w:hAnsi="Times New Roman" w:cs="Times New Roman"/>
          <w:bCs/>
          <w:i/>
          <w:iCs/>
        </w:rPr>
        <w:t>That’s</w:t>
      </w:r>
      <w:proofErr w:type="gramEnd"/>
      <w:r w:rsidR="00910DCB">
        <w:rPr>
          <w:rFonts w:ascii="Times New Roman" w:hAnsi="Times New Roman" w:cs="Times New Roman"/>
          <w:bCs/>
          <w:i/>
          <w:iCs/>
        </w:rPr>
        <w:t xml:space="preserve"> not really authority that I’m interested in. </w:t>
      </w:r>
    </w:p>
    <w:p w14:paraId="1775868D" w14:textId="77777777" w:rsidR="00C831B0" w:rsidRDefault="00C831B0" w:rsidP="00FE685C">
      <w:pPr>
        <w:rPr>
          <w:rFonts w:ascii="Times New Roman" w:hAnsi="Times New Roman" w:cs="Times New Roman"/>
          <w:bCs/>
          <w:i/>
          <w:iCs/>
        </w:rPr>
      </w:pPr>
    </w:p>
    <w:p w14:paraId="5780F975" w14:textId="600769DF" w:rsidR="000F1AB8" w:rsidRDefault="00910DCB" w:rsidP="00FE685C">
      <w:pPr>
        <w:rPr>
          <w:rFonts w:ascii="Times New Roman" w:hAnsi="Times New Roman" w:cs="Times New Roman"/>
          <w:bCs/>
        </w:rPr>
      </w:pPr>
      <w:r w:rsidRPr="00910DCB">
        <w:rPr>
          <w:rFonts w:ascii="Times New Roman" w:hAnsi="Times New Roman" w:cs="Times New Roman"/>
          <w:bCs/>
        </w:rPr>
        <w:t>I think we’re going to get farther on the learning, rather than the teaching, if we say we don’t need that hierarchy, that authority, we can</w:t>
      </w:r>
      <w:r w:rsidR="007A2932">
        <w:rPr>
          <w:rFonts w:ascii="Times New Roman" w:hAnsi="Times New Roman" w:cs="Times New Roman"/>
          <w:bCs/>
        </w:rPr>
        <w:t xml:space="preserve"> believe and act as if our students know as much as we do. They just know differently. They know different things. But that we all start from the sort of same basis of experience matters and voice matters and these kinds of things. </w:t>
      </w:r>
      <w:proofErr w:type="gramStart"/>
      <w:r w:rsidR="007A2932">
        <w:rPr>
          <w:rFonts w:ascii="Times New Roman" w:hAnsi="Times New Roman" w:cs="Times New Roman"/>
          <w:bCs/>
        </w:rPr>
        <w:t>So</w:t>
      </w:r>
      <w:proofErr w:type="gramEnd"/>
      <w:r w:rsidR="007A2932">
        <w:rPr>
          <w:rFonts w:ascii="Times New Roman" w:hAnsi="Times New Roman" w:cs="Times New Roman"/>
          <w:bCs/>
        </w:rPr>
        <w:t xml:space="preserve"> having to grow my identity beyond what an institution offers for what a teacher is supposed to be. I think that’s</w:t>
      </w:r>
      <w:r w:rsidR="00F20C13">
        <w:rPr>
          <w:rFonts w:ascii="Times New Roman" w:hAnsi="Times New Roman" w:cs="Times New Roman"/>
          <w:bCs/>
        </w:rPr>
        <w:t xml:space="preserve">, that’s been the big learning curve for me, to say, okay, where is it going to be workable to not be that hierarchical figure but, rather, to be a partner, to be a co-learner, to be a fellow explorer, and to say, </w:t>
      </w:r>
      <w:proofErr w:type="gramStart"/>
      <w:r w:rsidR="00F20C13">
        <w:rPr>
          <w:rFonts w:ascii="Times New Roman" w:hAnsi="Times New Roman" w:cs="Times New Roman"/>
          <w:bCs/>
          <w:i/>
          <w:iCs/>
        </w:rPr>
        <w:t>My</w:t>
      </w:r>
      <w:proofErr w:type="gramEnd"/>
      <w:r w:rsidR="00F20C13">
        <w:rPr>
          <w:rFonts w:ascii="Times New Roman" w:hAnsi="Times New Roman" w:cs="Times New Roman"/>
          <w:bCs/>
          <w:i/>
          <w:iCs/>
        </w:rPr>
        <w:t xml:space="preserve"> authority doesn’t rest on knowing everything. My authority rests on how comfortable I can be in saying what I don’t know</w:t>
      </w:r>
      <w:r w:rsidR="00F20C13">
        <w:rPr>
          <w:rFonts w:ascii="Times New Roman" w:hAnsi="Times New Roman" w:cs="Times New Roman"/>
          <w:bCs/>
        </w:rPr>
        <w:t>. These are truths I think that we learn as Ph.D. students but that our institutions don’t give us an easy way to talk with students about.</w:t>
      </w:r>
    </w:p>
    <w:p w14:paraId="058F9213" w14:textId="6FE39A6C" w:rsidR="00F20C13" w:rsidRDefault="00F20C13" w:rsidP="00FE685C">
      <w:pPr>
        <w:rPr>
          <w:rFonts w:ascii="Times New Roman" w:hAnsi="Times New Roman" w:cs="Times New Roman"/>
          <w:bCs/>
        </w:rPr>
      </w:pPr>
    </w:p>
    <w:p w14:paraId="09A811EE" w14:textId="53DB8E07" w:rsidR="00F20C13" w:rsidRDefault="00F20C13" w:rsidP="00FE685C">
      <w:pPr>
        <w:rPr>
          <w:rFonts w:ascii="Times New Roman" w:hAnsi="Times New Roman" w:cs="Times New Roman"/>
          <w:bCs/>
        </w:rPr>
      </w:pPr>
      <w:r>
        <w:rPr>
          <w:rFonts w:ascii="Times New Roman" w:hAnsi="Times New Roman" w:cs="Times New Roman"/>
          <w:b/>
        </w:rPr>
        <w:lastRenderedPageBreak/>
        <w:t xml:space="preserve">Jo-Anne: </w:t>
      </w:r>
      <w:r>
        <w:rPr>
          <w:rFonts w:ascii="Times New Roman" w:hAnsi="Times New Roman" w:cs="Times New Roman"/>
          <w:bCs/>
        </w:rPr>
        <w:t>Thanks, Doug. Ann?</w:t>
      </w:r>
    </w:p>
    <w:p w14:paraId="28E4854D" w14:textId="61DA9DE2" w:rsidR="00F20C13" w:rsidRDefault="00F20C13" w:rsidP="00FE685C">
      <w:pPr>
        <w:rPr>
          <w:rFonts w:ascii="Times New Roman" w:hAnsi="Times New Roman" w:cs="Times New Roman"/>
          <w:bCs/>
        </w:rPr>
      </w:pPr>
    </w:p>
    <w:p w14:paraId="1AE7C8D0" w14:textId="24ACDE9D" w:rsidR="00F20C13" w:rsidRDefault="00F20C13" w:rsidP="00FE685C">
      <w:pPr>
        <w:rPr>
          <w:rFonts w:ascii="Times New Roman" w:hAnsi="Times New Roman" w:cs="Times New Roman"/>
          <w:bCs/>
        </w:rPr>
      </w:pPr>
      <w:r>
        <w:rPr>
          <w:rFonts w:ascii="Times New Roman" w:hAnsi="Times New Roman" w:cs="Times New Roman"/>
          <w:b/>
        </w:rPr>
        <w:t>Ann:</w:t>
      </w:r>
      <w:r>
        <w:rPr>
          <w:rFonts w:ascii="Times New Roman" w:hAnsi="Times New Roman" w:cs="Times New Roman"/>
          <w:bCs/>
        </w:rPr>
        <w:t xml:space="preserve"> </w:t>
      </w:r>
      <w:r w:rsidR="00527AF6">
        <w:rPr>
          <w:rFonts w:ascii="Times New Roman" w:hAnsi="Times New Roman" w:cs="Times New Roman"/>
          <w:bCs/>
        </w:rPr>
        <w:t xml:space="preserve">I would say, I used to be a much more rigid teacher. I think when I was a new teacher, I believed in the public charter a little bit, and so I used to take the approach of seeing a classroom as, </w:t>
      </w:r>
      <w:r w:rsidR="00527AF6" w:rsidRPr="00527AF6">
        <w:rPr>
          <w:rFonts w:ascii="Times New Roman" w:hAnsi="Times New Roman" w:cs="Times New Roman"/>
          <w:bCs/>
          <w:i/>
          <w:iCs/>
        </w:rPr>
        <w:t>I’m the person who’s going to set out what we’re going to learn and how we’re going to learn it</w:t>
      </w:r>
      <w:r w:rsidR="00527AF6">
        <w:rPr>
          <w:rFonts w:ascii="Times New Roman" w:hAnsi="Times New Roman" w:cs="Times New Roman"/>
          <w:bCs/>
          <w:i/>
          <w:iCs/>
        </w:rPr>
        <w:t>,</w:t>
      </w:r>
      <w:r w:rsidR="00527AF6">
        <w:rPr>
          <w:rFonts w:ascii="Times New Roman" w:hAnsi="Times New Roman" w:cs="Times New Roman"/>
          <w:bCs/>
        </w:rPr>
        <w:t xml:space="preserve"> </w:t>
      </w:r>
      <w:r w:rsidR="00D34A5D">
        <w:rPr>
          <w:rFonts w:ascii="Times New Roman" w:hAnsi="Times New Roman" w:cs="Times New Roman"/>
          <w:bCs/>
        </w:rPr>
        <w:t xml:space="preserve">and over time I’ve really come to see teaching as much more of an experiment that students and I are conducting together. My experience has been that many students come to FYC wanting to know what the expectations are and </w:t>
      </w:r>
      <w:r w:rsidR="00D34A5D">
        <w:rPr>
          <w:rFonts w:ascii="Times New Roman" w:hAnsi="Times New Roman" w:cs="Times New Roman"/>
          <w:bCs/>
          <w:i/>
          <w:iCs/>
        </w:rPr>
        <w:t>What do I need to meet them to earn a certain grade,</w:t>
      </w:r>
      <w:r w:rsidR="00D34A5D">
        <w:rPr>
          <w:rFonts w:ascii="Times New Roman" w:hAnsi="Times New Roman" w:cs="Times New Roman"/>
          <w:bCs/>
        </w:rPr>
        <w:t xml:space="preserve"> and I really try, with varying degrees of success, to refocus them toward just getting excited about the concepts we’re working with in class and getting excited about our writing projects. I think with this approach to my FYC pedagogy my courses have become a lot messier, but I’ve found that they’ve become much more meaningful to students. </w:t>
      </w:r>
      <w:proofErr w:type="gramStart"/>
      <w:r w:rsidR="00D34A5D">
        <w:rPr>
          <w:rFonts w:ascii="Times New Roman" w:hAnsi="Times New Roman" w:cs="Times New Roman"/>
          <w:bCs/>
        </w:rPr>
        <w:t>So</w:t>
      </w:r>
      <w:proofErr w:type="gramEnd"/>
      <w:r w:rsidR="00D34A5D">
        <w:rPr>
          <w:rFonts w:ascii="Times New Roman" w:hAnsi="Times New Roman" w:cs="Times New Roman"/>
          <w:bCs/>
        </w:rPr>
        <w:t xml:space="preserve"> I’ve found that students are much more excited about what we’re doing in class and about what they’re learning and proud, really, of the writing that comes of it.</w:t>
      </w:r>
    </w:p>
    <w:p w14:paraId="16E50321" w14:textId="6AB5D783" w:rsidR="00D34A5D" w:rsidRDefault="00D34A5D" w:rsidP="00FE685C">
      <w:pPr>
        <w:rPr>
          <w:rFonts w:ascii="Times New Roman" w:hAnsi="Times New Roman" w:cs="Times New Roman"/>
          <w:bCs/>
        </w:rPr>
      </w:pPr>
    </w:p>
    <w:p w14:paraId="5D19A437" w14:textId="28B03B89" w:rsidR="00D34A5D" w:rsidRDefault="00D34A5D" w:rsidP="00FE685C">
      <w:pPr>
        <w:rPr>
          <w:rFonts w:ascii="Times New Roman" w:hAnsi="Times New Roman" w:cs="Times New Roman"/>
          <w:bCs/>
        </w:rPr>
      </w:pPr>
      <w:r>
        <w:rPr>
          <w:rFonts w:ascii="Times New Roman" w:hAnsi="Times New Roman" w:cs="Times New Roman"/>
          <w:b/>
        </w:rPr>
        <w:t xml:space="preserve">Doug: </w:t>
      </w:r>
      <w:r>
        <w:rPr>
          <w:rFonts w:ascii="Times New Roman" w:hAnsi="Times New Roman" w:cs="Times New Roman"/>
          <w:bCs/>
        </w:rPr>
        <w:t>I’m enough Type A, and I think maybe a lot of teachers start out that way, that that messiness is really alien. This is one of the things that really has to move and shift for teachers who start out liking a kind of neatness is that we’re not going to have that, things don’t always work out, etcetera, so I love that you frame it that way.</w:t>
      </w:r>
    </w:p>
    <w:p w14:paraId="0BE8CA65" w14:textId="7CA92D13" w:rsidR="00D34A5D" w:rsidRDefault="00D34A5D" w:rsidP="00FE685C">
      <w:pPr>
        <w:rPr>
          <w:rFonts w:ascii="Times New Roman" w:hAnsi="Times New Roman" w:cs="Times New Roman"/>
          <w:bCs/>
        </w:rPr>
      </w:pPr>
    </w:p>
    <w:p w14:paraId="01332E70" w14:textId="5EEDC6DB" w:rsidR="00D34A5D" w:rsidRDefault="00D34A5D" w:rsidP="00FE685C">
      <w:pPr>
        <w:rPr>
          <w:rFonts w:ascii="Times New Roman" w:hAnsi="Times New Roman" w:cs="Times New Roman"/>
          <w:bCs/>
        </w:rPr>
      </w:pPr>
      <w:r>
        <w:rPr>
          <w:rFonts w:ascii="Times New Roman" w:hAnsi="Times New Roman" w:cs="Times New Roman"/>
          <w:b/>
        </w:rPr>
        <w:t>Jo-Anne:</w:t>
      </w:r>
      <w:r>
        <w:rPr>
          <w:rFonts w:ascii="Times New Roman" w:hAnsi="Times New Roman" w:cs="Times New Roman"/>
          <w:bCs/>
        </w:rPr>
        <w:t xml:space="preserve"> There’s a kind of courage to, when you abrogate authority. Parker Palmer talks about “the courage to teach” and this seems to reflect those ideas very clearly and in a very important way.</w:t>
      </w:r>
    </w:p>
    <w:p w14:paraId="62F2A562" w14:textId="11BF9B0A" w:rsidR="00D34A5D" w:rsidRDefault="00D34A5D" w:rsidP="00FE685C">
      <w:pPr>
        <w:rPr>
          <w:rFonts w:ascii="Times New Roman" w:hAnsi="Times New Roman" w:cs="Times New Roman"/>
          <w:bCs/>
        </w:rPr>
      </w:pPr>
    </w:p>
    <w:p w14:paraId="2096B010" w14:textId="58B5624F" w:rsidR="00D34A5D" w:rsidRPr="00D34A5D" w:rsidRDefault="00D34A5D" w:rsidP="00D34A5D">
      <w:pPr>
        <w:rPr>
          <w:rFonts w:ascii="Times New Roman" w:hAnsi="Times New Roman" w:cs="Times New Roman"/>
          <w:bCs/>
        </w:rPr>
      </w:pPr>
      <w:r>
        <w:rPr>
          <w:rFonts w:ascii="Times New Roman" w:hAnsi="Times New Roman" w:cs="Times New Roman"/>
          <w:bCs/>
        </w:rPr>
        <w:t xml:space="preserve">It’s been a pleasure to talk with Doug Downs and Ann </w:t>
      </w:r>
      <w:proofErr w:type="spellStart"/>
      <w:r>
        <w:rPr>
          <w:rFonts w:ascii="Times New Roman" w:hAnsi="Times New Roman" w:cs="Times New Roman"/>
          <w:bCs/>
        </w:rPr>
        <w:t>Amicucci</w:t>
      </w:r>
      <w:proofErr w:type="spellEnd"/>
      <w:r>
        <w:rPr>
          <w:rFonts w:ascii="Times New Roman" w:hAnsi="Times New Roman" w:cs="Times New Roman"/>
          <w:bCs/>
        </w:rPr>
        <w:t xml:space="preserve">. Music is on this podcast </w:t>
      </w:r>
      <w:r w:rsidRPr="00972125">
        <w:rPr>
          <w:rFonts w:ascii="Times New Roman" w:hAnsi="Times New Roman" w:cs="Times New Roman"/>
        </w:rPr>
        <w:t>is by Dan-O at DanoSongs.com. We encourage you to visit the WAC Clearinghouse website to check out additional podcasts and more materials related to the book Stories from First-Year Composition.</w:t>
      </w:r>
    </w:p>
    <w:p w14:paraId="4FED22EA" w14:textId="77777777" w:rsidR="00D34A5D" w:rsidRDefault="00D34A5D" w:rsidP="00D34A5D">
      <w:pPr>
        <w:rPr>
          <w:rFonts w:ascii="Times New Roman" w:hAnsi="Times New Roman" w:cs="Times New Roman"/>
          <w:b/>
          <w:bCs/>
        </w:rPr>
      </w:pPr>
    </w:p>
    <w:p w14:paraId="1CCECB8F" w14:textId="41894884" w:rsidR="00AB4A4C" w:rsidRPr="00AB4A4C" w:rsidRDefault="00D34A5D">
      <w:pPr>
        <w:rPr>
          <w:b/>
        </w:rPr>
      </w:pPr>
      <w:r>
        <w:rPr>
          <w:rFonts w:ascii="Times New Roman" w:hAnsi="Times New Roman" w:cs="Times New Roman"/>
        </w:rPr>
        <w:t>[Closing music]</w:t>
      </w:r>
    </w:p>
    <w:sectPr w:rsidR="00AB4A4C" w:rsidRPr="00AB4A4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F6EDB" w14:textId="77777777" w:rsidR="00D65EA2" w:rsidRDefault="00D65EA2" w:rsidP="00D70E30">
      <w:r>
        <w:separator/>
      </w:r>
    </w:p>
  </w:endnote>
  <w:endnote w:type="continuationSeparator" w:id="0">
    <w:p w14:paraId="79142382" w14:textId="77777777" w:rsidR="00D65EA2" w:rsidRDefault="00D65EA2" w:rsidP="00D70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D61C1" w14:textId="77777777" w:rsidR="00D70E30" w:rsidRDefault="00D70E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87FEB" w14:textId="58D4EB76" w:rsidR="00D70E30" w:rsidRPr="00D70E30" w:rsidRDefault="00D70E30">
    <w:pPr>
      <w:pStyle w:val="Footer"/>
      <w:rPr>
        <w:sz w:val="18"/>
      </w:rPr>
    </w:pPr>
    <w:bookmarkStart w:id="1" w:name="_GoBack"/>
    <w:r w:rsidRPr="00D70E30">
      <w:rPr>
        <w:sz w:val="18"/>
      </w:rPr>
      <w:t>Podcast Transcript</w:t>
    </w:r>
    <w:r w:rsidRPr="00D70E30">
      <w:rPr>
        <w:sz w:val="18"/>
      </w:rPr>
      <w:tab/>
    </w:r>
    <w:r w:rsidRPr="00D70E30">
      <w:rPr>
        <w:sz w:val="18"/>
      </w:rPr>
      <w:tab/>
      <w:t xml:space="preserve">Page </w:t>
    </w:r>
    <w:r w:rsidRPr="00D70E30">
      <w:rPr>
        <w:sz w:val="18"/>
      </w:rPr>
      <w:fldChar w:fldCharType="begin"/>
    </w:r>
    <w:r w:rsidRPr="00D70E30">
      <w:rPr>
        <w:sz w:val="18"/>
      </w:rPr>
      <w:instrText xml:space="preserve"> PAGE   \* MERGEFORMAT </w:instrText>
    </w:r>
    <w:r w:rsidRPr="00D70E30">
      <w:rPr>
        <w:sz w:val="18"/>
      </w:rPr>
      <w:fldChar w:fldCharType="separate"/>
    </w:r>
    <w:r w:rsidRPr="00D70E30">
      <w:rPr>
        <w:noProof/>
        <w:sz w:val="18"/>
      </w:rPr>
      <w:t>1</w:t>
    </w:r>
    <w:r w:rsidRPr="00D70E30">
      <w:rPr>
        <w:noProof/>
        <w:sz w:val="18"/>
      </w:rPr>
      <w:fldChar w:fldCharType="end"/>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9EE5A" w14:textId="77777777" w:rsidR="00D70E30" w:rsidRDefault="00D70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A34E9" w14:textId="77777777" w:rsidR="00D65EA2" w:rsidRDefault="00D65EA2" w:rsidP="00D70E30">
      <w:r>
        <w:separator/>
      </w:r>
    </w:p>
  </w:footnote>
  <w:footnote w:type="continuationSeparator" w:id="0">
    <w:p w14:paraId="3DE77C1D" w14:textId="77777777" w:rsidR="00D65EA2" w:rsidRDefault="00D65EA2" w:rsidP="00D70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84D13" w14:textId="77777777" w:rsidR="00D70E30" w:rsidRDefault="00D70E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7BF9F" w14:textId="77777777" w:rsidR="00D70E30" w:rsidRDefault="00D70E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A390E" w14:textId="77777777" w:rsidR="00D70E30" w:rsidRDefault="00D70E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561FCC"/>
    <w:multiLevelType w:val="hybridMultilevel"/>
    <w:tmpl w:val="B9C2CA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3D8"/>
    <w:rsid w:val="00021A3D"/>
    <w:rsid w:val="000F1AB8"/>
    <w:rsid w:val="00190127"/>
    <w:rsid w:val="001B1B16"/>
    <w:rsid w:val="002512DB"/>
    <w:rsid w:val="002C096B"/>
    <w:rsid w:val="00401104"/>
    <w:rsid w:val="00461A2B"/>
    <w:rsid w:val="00527AF6"/>
    <w:rsid w:val="005B125E"/>
    <w:rsid w:val="006F043F"/>
    <w:rsid w:val="007471CB"/>
    <w:rsid w:val="007A2932"/>
    <w:rsid w:val="008064EA"/>
    <w:rsid w:val="0088524B"/>
    <w:rsid w:val="008861F5"/>
    <w:rsid w:val="008B6059"/>
    <w:rsid w:val="008C02AE"/>
    <w:rsid w:val="008D29E3"/>
    <w:rsid w:val="00910DCB"/>
    <w:rsid w:val="00934443"/>
    <w:rsid w:val="0096135E"/>
    <w:rsid w:val="00963CEA"/>
    <w:rsid w:val="009A48BC"/>
    <w:rsid w:val="009B33A8"/>
    <w:rsid w:val="00A06467"/>
    <w:rsid w:val="00A7794A"/>
    <w:rsid w:val="00AB4A4C"/>
    <w:rsid w:val="00B34C47"/>
    <w:rsid w:val="00B46A82"/>
    <w:rsid w:val="00BB106B"/>
    <w:rsid w:val="00C24E15"/>
    <w:rsid w:val="00C831B0"/>
    <w:rsid w:val="00C8532A"/>
    <w:rsid w:val="00D34A5D"/>
    <w:rsid w:val="00D35CD6"/>
    <w:rsid w:val="00D65EA2"/>
    <w:rsid w:val="00D70E30"/>
    <w:rsid w:val="00DD6E6F"/>
    <w:rsid w:val="00E20CD7"/>
    <w:rsid w:val="00E349B1"/>
    <w:rsid w:val="00F20C13"/>
    <w:rsid w:val="00FB283A"/>
    <w:rsid w:val="00FC03D8"/>
    <w:rsid w:val="00FC28C5"/>
    <w:rsid w:val="00FE685C"/>
    <w:rsid w:val="00FE6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3DBA3"/>
  <w15:chartTrackingRefBased/>
  <w15:docId w15:val="{FB17AAEF-C869-4FA4-96FF-86368BE27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03D8"/>
    <w:rPr>
      <w:rFonts w:asciiTheme="minorHAnsi" w:eastAsiaTheme="minorEastAsia" w:hAnsiTheme="minorHAnsi"/>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03D8"/>
    <w:rPr>
      <w:color w:val="0563C1" w:themeColor="hyperlink"/>
      <w:u w:val="single"/>
    </w:rPr>
  </w:style>
  <w:style w:type="paragraph" w:styleId="ListParagraph">
    <w:name w:val="List Paragraph"/>
    <w:basedOn w:val="Normal"/>
    <w:uiPriority w:val="34"/>
    <w:qFormat/>
    <w:rsid w:val="0096135E"/>
    <w:pPr>
      <w:ind w:left="720"/>
      <w:contextualSpacing/>
    </w:pPr>
    <w:rPr>
      <w:rFonts w:eastAsiaTheme="minorHAnsi"/>
      <w:lang w:eastAsia="en-US"/>
    </w:rPr>
  </w:style>
  <w:style w:type="paragraph" w:styleId="BalloonText">
    <w:name w:val="Balloon Text"/>
    <w:basedOn w:val="Normal"/>
    <w:link w:val="BalloonTextChar"/>
    <w:uiPriority w:val="99"/>
    <w:semiHidden/>
    <w:unhideWhenUsed/>
    <w:rsid w:val="00FC28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8C5"/>
    <w:rPr>
      <w:rFonts w:ascii="Segoe UI" w:eastAsiaTheme="minorEastAsia" w:hAnsi="Segoe UI" w:cs="Segoe UI"/>
      <w:sz w:val="18"/>
      <w:szCs w:val="18"/>
      <w:lang w:eastAsia="zh-CN"/>
    </w:rPr>
  </w:style>
  <w:style w:type="paragraph" w:styleId="Title">
    <w:name w:val="Title"/>
    <w:basedOn w:val="Normal"/>
    <w:next w:val="Normal"/>
    <w:link w:val="TitleChar"/>
    <w:uiPriority w:val="10"/>
    <w:qFormat/>
    <w:rsid w:val="00461A2B"/>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461A2B"/>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D70E30"/>
    <w:pPr>
      <w:tabs>
        <w:tab w:val="center" w:pos="4680"/>
        <w:tab w:val="right" w:pos="9360"/>
      </w:tabs>
    </w:pPr>
  </w:style>
  <w:style w:type="character" w:customStyle="1" w:styleId="HeaderChar">
    <w:name w:val="Header Char"/>
    <w:basedOn w:val="DefaultParagraphFont"/>
    <w:link w:val="Header"/>
    <w:uiPriority w:val="99"/>
    <w:rsid w:val="00D70E30"/>
    <w:rPr>
      <w:rFonts w:asciiTheme="minorHAnsi" w:eastAsiaTheme="minorEastAsia" w:hAnsiTheme="minorHAnsi"/>
      <w:szCs w:val="24"/>
      <w:lang w:eastAsia="zh-CN"/>
    </w:rPr>
  </w:style>
  <w:style w:type="paragraph" w:styleId="Footer">
    <w:name w:val="footer"/>
    <w:basedOn w:val="Normal"/>
    <w:link w:val="FooterChar"/>
    <w:uiPriority w:val="99"/>
    <w:unhideWhenUsed/>
    <w:rsid w:val="00D70E30"/>
    <w:pPr>
      <w:tabs>
        <w:tab w:val="center" w:pos="4680"/>
        <w:tab w:val="right" w:pos="9360"/>
      </w:tabs>
    </w:pPr>
  </w:style>
  <w:style w:type="character" w:customStyle="1" w:styleId="FooterChar">
    <w:name w:val="Footer Char"/>
    <w:basedOn w:val="DefaultParagraphFont"/>
    <w:link w:val="Footer"/>
    <w:uiPriority w:val="99"/>
    <w:rsid w:val="00D70E30"/>
    <w:rPr>
      <w:rFonts w:asciiTheme="minorHAnsi" w:eastAsiaTheme="minorEastAsia" w:hAnsiTheme="minorHAnsi"/>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280851">
      <w:bodyDiv w:val="1"/>
      <w:marLeft w:val="0"/>
      <w:marRight w:val="0"/>
      <w:marTop w:val="0"/>
      <w:marBottom w:val="0"/>
      <w:divBdr>
        <w:top w:val="none" w:sz="0" w:space="0" w:color="auto"/>
        <w:left w:val="none" w:sz="0" w:space="0" w:color="auto"/>
        <w:bottom w:val="none" w:sz="0" w:space="0" w:color="auto"/>
        <w:right w:val="none" w:sz="0" w:space="0" w:color="auto"/>
      </w:divBdr>
    </w:div>
    <w:div w:id="156842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ac.colostate.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3863</Words>
  <Characters>22020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Amicucci</dc:creator>
  <cp:keywords/>
  <dc:description/>
  <cp:lastModifiedBy>Mike Palmquist</cp:lastModifiedBy>
  <cp:revision>4</cp:revision>
  <dcterms:created xsi:type="dcterms:W3CDTF">2020-07-03T22:24:00Z</dcterms:created>
  <dcterms:modified xsi:type="dcterms:W3CDTF">2020-07-03T22:29:00Z</dcterms:modified>
</cp:coreProperties>
</file>