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u w:val="single"/>
        </w:rPr>
      </w:pPr>
      <w:r w:rsidDel="00000000" w:rsidR="00000000" w:rsidRPr="00000000">
        <w:rPr>
          <w:rtl w:val="0"/>
        </w:rPr>
        <w:t xml:space="preserve">Guide to Using with </w:t>
      </w:r>
      <w:r w:rsidDel="00000000" w:rsidR="00000000" w:rsidRPr="00000000">
        <w:rPr>
          <w:i w:val="1"/>
          <w:iCs w:val="1"/>
          <w:rtl w:val="0"/>
        </w:rPr>
        <w:t xml:space="preserve">Becoming an Expert Writer: A Holistic Guide to Writing for Publication</w:t>
      </w:r>
      <w:r w:rsidDel="00000000" w:rsidR="00000000" w:rsidRPr="00000000">
        <w:rPr>
          <w:rtl w:val="0"/>
        </w:rPr>
        <w:t xml:space="preserve"> in Courses, Scholarly Communication Support, and Individual Mentoring</w:t>
      </w:r>
      <w:r w:rsidDel="00000000" w:rsidR="00000000" w:rsidRPr="00000000">
        <w:rPr>
          <w:rtl w:val="0"/>
        </w:rPr>
      </w:r>
    </w:p>
    <w:p w:rsidR="00000000" w:rsidDel="00000000" w:rsidP="00000000" w:rsidRDefault="00000000" w:rsidRPr="00000000" w14:paraId="00000002">
      <w:pPr>
        <w:ind w:firstLine="720"/>
        <w:rPr/>
      </w:pPr>
      <w:r w:rsidDel="00000000" w:rsidR="00000000" w:rsidRPr="00000000">
        <w:rPr>
          <w:rtl w:val="0"/>
        </w:rPr>
        <w:t xml:space="preserve">The goal of this guide is to give you some different options for how to use this book to support writing for publication in a variety of contexts.    I’ll start by sharing how I’ve used this book and material to give you perspective.</w:t>
      </w:r>
    </w:p>
    <w:p w:rsidR="00000000" w:rsidDel="00000000" w:rsidP="00000000" w:rsidRDefault="00000000" w:rsidRPr="00000000" w14:paraId="00000003">
      <w:pPr>
        <w:ind w:firstLine="720"/>
        <w:rPr/>
      </w:pPr>
      <w:r w:rsidDel="00000000" w:rsidR="00000000" w:rsidRPr="00000000">
        <w:rPr>
          <w:rtl w:val="0"/>
        </w:rPr>
        <w:t xml:space="preserve">I began writing </w:t>
      </w:r>
      <w:r w:rsidDel="00000000" w:rsidR="00000000" w:rsidRPr="00000000">
        <w:rPr>
          <w:i w:val="1"/>
          <w:iCs w:val="1"/>
          <w:rtl w:val="0"/>
        </w:rPr>
        <w:t xml:space="preserve">Becoming an Expert Writer</w:t>
      </w:r>
      <w:r w:rsidDel="00000000" w:rsidR="00000000" w:rsidRPr="00000000">
        <w:rPr>
          <w:rtl w:val="0"/>
        </w:rPr>
        <w:t xml:space="preserve"> after seeing multiple needs at my institution for advanced writing support that was not covered in existing resources, especially surrounding demystifying writing and revision processes, helping emerging scholars shape their scholarly identities, and helping them overcome issues like imposter syndrome and fixed mindsets towards struggle and revision. I found that many faculty mentors relied on tacit knowledge surrounding writing for publication, and this was not always accessible or clear to emerging scholars.  Thus, I began developing the initial ideas for this book after creating and regularly teaching two courses in Indiana University of Pennsylvania’s doctoral program in Composition and Applied Linguistics: ENG 880: Writing for Publication (geared towards producing a publishable article) and ENG 835: Research Design and the Craft of Writing (which is a dissertation writing class). I progressed to data collection, following expert and emerging scholars as they wrote for publication.  As I collected the data that informed the book, I continued to refine my teaching of these two classes, testing out the activities and approaches.  While that was going on, I was also developing a range of support materials for dissertation writers on our campus through my role as the Director of the Jones White Writing Center, and later as the founding director for the Center for Scholarly Communication (where we helped both student and faculty writers publish).I was also teaching writing for publication and writing for publication pedagogy with multiple Czech Republic universities, including VSB Technical University of Ostrava, the Czech Academy of Sciences, and Charles University, which allowed me to understand how these principles applied internationally and to multilingual writers. Additionally, I have also used this work individually in dissertation supervision of my own advisees and are now building this material into faculty writing groups we offer through the Center for Scholarly Communication.  This is to say, the ideas in this book have been tested in multiple ways, and what I provide here are some suggestions for how you can use this work. </w:t>
      </w:r>
    </w:p>
    <w:p w:rsidR="00000000" w:rsidDel="00000000" w:rsidP="00000000" w:rsidRDefault="00000000" w:rsidRPr="00000000" w14:paraId="00000004">
      <w:pPr>
        <w:ind w:firstLine="720"/>
        <w:rPr/>
      </w:pPr>
      <w:r w:rsidDel="00000000" w:rsidR="00000000" w:rsidRPr="00000000">
        <w:rPr>
          <w:rtl w:val="0"/>
        </w:rPr>
        <w:t xml:space="preserve">Given these diverse contexts, I can envision this book being used to supplement, extend, or support writing for publication for emerging scholars in multiple contexts: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Context 1: Coursework in writing for publication.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Doctoral coursework in writing for publication in any field.  I’ve included a sample course schedule that includes themes and topics based on a 14-week semester, meeting once a week.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Context 2: Support programs in scholarly writing for graduate students and faculty.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These programs may exist in many places at a university such as through faculty development or writing retreats, new faculty orientations, centers for teaching excellence, writing centers, or graduate communication centers.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Context 3: Individual advising and mentoring.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You can use this book to support mentees or dissertation/thesis advisees in developing their own writing expertise.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Context 4: Writing groups.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Faculty or graduate student writing groups can also use this book as part of their own work together. </w:t>
      </w:r>
    </w:p>
    <w:p w:rsidR="00000000" w:rsidDel="00000000" w:rsidP="00000000" w:rsidRDefault="00000000" w:rsidRPr="00000000" w14:paraId="00000009">
      <w:pPr>
        <w:pStyle w:val="Heading2"/>
        <w:rPr/>
      </w:pPr>
      <w:r w:rsidDel="00000000" w:rsidR="00000000" w:rsidRPr="00000000">
        <w:rPr>
          <w:rtl w:val="0"/>
        </w:rPr>
        <w:t xml:space="preserve">Context 1: Using </w:t>
      </w:r>
      <w:r w:rsidDel="00000000" w:rsidR="00000000" w:rsidRPr="00000000">
        <w:rPr>
          <w:i w:val="1"/>
          <w:iCs w:val="1"/>
          <w:rtl w:val="0"/>
        </w:rPr>
        <w:t xml:space="preserve">Becoming an Expert Writer</w:t>
      </w:r>
      <w:r w:rsidDel="00000000" w:rsidR="00000000" w:rsidRPr="00000000">
        <w:rPr>
          <w:rtl w:val="0"/>
        </w:rPr>
        <w:t xml:space="preserve"> in graduate-level courses and seminars</w:t>
      </w:r>
    </w:p>
    <w:p w:rsidR="00000000" w:rsidDel="00000000" w:rsidP="00000000" w:rsidRDefault="00000000" w:rsidRPr="00000000" w14:paraId="0000000A">
      <w:pPr>
        <w:ind w:firstLine="720"/>
        <w:rPr>
          <w:b w:val="1"/>
          <w:bCs w:val="1"/>
        </w:rPr>
      </w:pPr>
      <w:r w:rsidDel="00000000" w:rsidR="00000000" w:rsidRPr="00000000">
        <w:rPr>
          <w:rtl w:val="0"/>
        </w:rPr>
        <w:t xml:space="preserve">The book can be used whole or in-part for a wide range of courses, in all disciplines, that teach writing for publication or to supplement dissertation writing courses. Faculty can use individual chapters or multiple chapters, depending on the focus of their course.  When I have taught with this material, I have typically used two textbooks: one is more of a nuts and bolts how-to book (such as Ritzenberg and Mendleshon’s </w:t>
      </w:r>
      <w:r w:rsidDel="00000000" w:rsidR="00000000" w:rsidRPr="00000000">
        <w:rPr>
          <w:i w:val="1"/>
          <w:iCs w:val="1"/>
          <w:rtl w:val="0"/>
        </w:rPr>
        <w:t xml:space="preserve">How Scholars Write </w:t>
      </w:r>
      <w:r w:rsidDel="00000000" w:rsidR="00000000" w:rsidRPr="00000000">
        <w:rPr>
          <w:rtl w:val="0"/>
        </w:rPr>
        <w:t xml:space="preserve">or Belcher’s </w:t>
      </w:r>
      <w:r w:rsidDel="00000000" w:rsidR="00000000" w:rsidRPr="00000000">
        <w:rPr>
          <w:i w:val="1"/>
          <w:iCs w:val="1"/>
          <w:rtl w:val="0"/>
        </w:rPr>
        <w:t xml:space="preserve">Writing Your Journal Article in 12 Weeks</w:t>
      </w:r>
      <w:r w:rsidDel="00000000" w:rsidR="00000000" w:rsidRPr="00000000">
        <w:rPr>
          <w:rtl w:val="0"/>
        </w:rPr>
        <w:t xml:space="preserve">). Both of these works provide a useful introduction to the </w:t>
      </w:r>
      <w:r w:rsidDel="00000000" w:rsidR="00000000" w:rsidRPr="00000000">
        <w:rPr>
          <w:i w:val="1"/>
          <w:iCs w:val="1"/>
          <w:rtl w:val="0"/>
        </w:rPr>
        <w:t xml:space="preserve">how</w:t>
      </w:r>
      <w:r w:rsidDel="00000000" w:rsidR="00000000" w:rsidRPr="00000000">
        <w:rPr>
          <w:rtl w:val="0"/>
        </w:rPr>
        <w:t xml:space="preserve"> of writing academic journal articles; Belcher is more useful for students that are working from an existing draft or data (which is presented in the sample syllabus and course schedule I provide in these materials), while Ritzenberg and Mendleshon is more useful for students who are starting from scratch on a new publication. </w:t>
      </w: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t xml:space="preserve">Each week, I ask students to divide their attention between the texts and writing they are producing with developing themselves as writers.  Chapters on idea generation and evaluation (2), drafting (3), scholarly identity (7) and dispositions (6), for example, I use early in the term to help frame the work, and then as we get later into their own writing processes, we explore things like flow states (4), revision (5), and group support (9). </w:t>
      </w:r>
    </w:p>
    <w:p w:rsidR="00000000" w:rsidDel="00000000" w:rsidP="00000000" w:rsidRDefault="00000000" w:rsidRPr="00000000" w14:paraId="0000000C">
      <w:pPr>
        <w:ind w:firstLine="720"/>
        <w:rPr/>
      </w:pPr>
      <w:r w:rsidDel="00000000" w:rsidR="00000000" w:rsidRPr="00000000">
        <w:rPr>
          <w:rtl w:val="0"/>
        </w:rPr>
        <w:t xml:space="preserve">As a textbook,  each chapter also offers a range of activities, any of which can be used in classes (online: synchronous, asynchronous, or face to face); and students greatly benefit from open discussions on each of the chapters.   You can see a sample syllabus, course schedule, and overview of activities for each week in the </w:t>
      </w:r>
      <w:sdt>
        <w:sdtPr>
          <w:id w:val="59874855"/>
          <w:tag w:val="goog_rdk_0"/>
        </w:sdtPr>
        <w:sdtContent>
          <w:commentRangeStart w:id="0"/>
        </w:sdtContent>
      </w:sdt>
      <w:r w:rsidDel="00000000" w:rsidR="00000000" w:rsidRPr="00000000">
        <w:rPr>
          <w:rtl w:val="0"/>
        </w:rPr>
        <w:t xml:space="preserve">Resources section</w:t>
      </w:r>
      <w:commentRangeEnd w:id="0"/>
      <w:r w:rsidDel="00000000" w:rsidR="00000000" w:rsidRPr="00000000">
        <w:commentReference w:id="0"/>
      </w:r>
      <w:r w:rsidDel="00000000" w:rsidR="00000000" w:rsidRPr="00000000">
        <w:rPr>
          <w:rtl w:val="0"/>
        </w:rPr>
        <w:t xml:space="preserve"> </w:t>
      </w:r>
      <w:r w:rsidDel="00000000" w:rsidR="00000000" w:rsidRPr="00000000">
        <w:rPr>
          <w:highlight w:val="yellow"/>
          <w:rtl w:val="0"/>
        </w:rPr>
        <w:t xml:space="preserve">[LINKS].</w:t>
      </w:r>
      <w:r w:rsidDel="00000000" w:rsidR="00000000" w:rsidRPr="00000000">
        <w:rPr>
          <w:rtl w:val="0"/>
        </w:rPr>
      </w:r>
    </w:p>
    <w:p w:rsidR="00000000" w:rsidDel="00000000" w:rsidP="00000000" w:rsidRDefault="00000000" w:rsidRPr="00000000" w14:paraId="0000000D">
      <w:pPr>
        <w:pStyle w:val="Heading2"/>
        <w:rPr/>
      </w:pPr>
      <w:r w:rsidDel="00000000" w:rsidR="00000000" w:rsidRPr="00000000">
        <w:rPr>
          <w:rtl w:val="0"/>
        </w:rPr>
        <w:t xml:space="preserve">Context 2: Support programs in scholarly writing for graduate students and faculty</w:t>
      </w:r>
    </w:p>
    <w:p w:rsidR="00000000" w:rsidDel="00000000" w:rsidP="00000000" w:rsidRDefault="00000000" w:rsidRPr="00000000" w14:paraId="0000000E">
      <w:pPr>
        <w:ind w:firstLine="720"/>
        <w:rPr/>
      </w:pPr>
      <w:r w:rsidDel="00000000" w:rsidR="00000000" w:rsidRPr="00000000">
        <w:rPr>
          <w:b w:val="1"/>
          <w:bCs w:val="1"/>
          <w:rtl w:val="0"/>
        </w:rPr>
        <w:t xml:space="preserve"> </w:t>
      </w:r>
      <w:r w:rsidDel="00000000" w:rsidR="00000000" w:rsidRPr="00000000">
        <w:rPr>
          <w:rtl w:val="0"/>
        </w:rPr>
        <w:t xml:space="preserve">Universities develop various kinds of support structures for writing for publication. These may be through faculty development institutes, new faculty orientations, centers for teaching excellence, writing centers, graduate communication centers, or scholarly communication centers.  The resources in this book can be used in a variety of ways including:</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Using a chapter or section of this book and develop a workshop on one or more of the topics, using the activities as interactive exercises during the workshop</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Creating a discussion group for reading certain chapters and discussing; chapters can be considered individually or as a larger continual group</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Individual graduate students or faculty can be offered chapters or sections of chapters as part of support materials depending on where they are in the publication process, especially through one-on-one consultations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 our Scholarly Communication Center, we run dissertation and thesis boot camps as well as graduate writing groups.  We offer sections of these chapters as workshops and as materials for these groups.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Using these chapters as training material for consultants who are working directly on publication or dissertation support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 an open-access textbook with a </w:t>
      </w:r>
      <w:sdt>
        <w:sdtPr>
          <w:id w:val="-83488386"/>
          <w:tag w:val="goog_rdk_1"/>
        </w:sdtPr>
        <w:sdtContent>
          <w:commentRangeStart w:id="1"/>
        </w:sdtContent>
      </w:sd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creative commons license, you may feel free to adapt these materials to your own needs or link to them directly from your center’s website.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t xml:space="preserve">Context 3: Individual advising and mentoring</w:t>
      </w:r>
    </w:p>
    <w:p w:rsidR="00000000" w:rsidDel="00000000" w:rsidP="00000000" w:rsidRDefault="00000000" w:rsidRPr="00000000" w14:paraId="00000016">
      <w:pPr>
        <w:ind w:firstLine="720"/>
        <w:rPr/>
      </w:pPr>
      <w:r w:rsidDel="00000000" w:rsidR="00000000" w:rsidRPr="00000000">
        <w:rPr>
          <w:rtl w:val="0"/>
        </w:rPr>
        <w:t xml:space="preserve">When I am working with dissertation advisees, I send chapters and sections of this book for them to read to support their writing process. Generally, when I take on a new advisee, I ask them to read a few chapters and we discuss these ideas in our first two meetings. We usually begin with Chapters 2, 6, and 8, which we discuss at early meetings. As they begin drafting, I share Chapters 3 and 4. Invariably, a few months in, they have a range of dispositional struggles and imposter syndrome, and so I share Chapter 7, and we discuss themes from that chapter and how to build resiliency. Once I send my first set of major revisions, I send along chapter 5 so that they can use that material to help develop a revision plan.</w:t>
      </w:r>
    </w:p>
    <w:p w:rsidR="00000000" w:rsidDel="00000000" w:rsidP="00000000" w:rsidRDefault="00000000" w:rsidRPr="00000000" w14:paraId="00000017">
      <w:pPr>
        <w:pStyle w:val="Heading2"/>
        <w:rPr/>
      </w:pPr>
      <w:r w:rsidDel="00000000" w:rsidR="00000000" w:rsidRPr="00000000">
        <w:rPr>
          <w:rtl w:val="0"/>
        </w:rPr>
        <w:t xml:space="preserve">Context 4: Writing Groups</w:t>
      </w:r>
    </w:p>
    <w:p w:rsidR="00000000" w:rsidDel="00000000" w:rsidP="00000000" w:rsidRDefault="00000000" w:rsidRPr="00000000" w14:paraId="00000018">
      <w:pPr>
        <w:rPr/>
      </w:pPr>
      <w:r w:rsidDel="00000000" w:rsidR="00000000" w:rsidRPr="00000000">
        <w:rPr>
          <w:rtl w:val="0"/>
        </w:rPr>
        <w:tab/>
        <w:t xml:space="preserve">While writing groups come in many different forms, writing groups that focus on supporting each other as writers may benefit from reading one or more of the chapters and discussing them together.  This is particularly useful information for writing groups consisting of graduate students and/or early career faculty.  </w:t>
      </w:r>
    </w:p>
    <w:p w:rsidR="00000000" w:rsidDel="00000000" w:rsidP="00000000" w:rsidRDefault="00000000" w:rsidRPr="00000000" w14:paraId="00000019">
      <w:pPr>
        <w:rPr/>
      </w:pPr>
      <w:r w:rsidDel="00000000" w:rsidR="00000000" w:rsidRPr="00000000">
        <w:rPr>
          <w:rtl w:val="0"/>
        </w:rPr>
        <w:tab/>
        <w:t xml:space="preserve">Writing groups may also be sponsored by a university (such as a writing center, library, teaching excellence center, or scholarly communication center). In this case, you can take material and activities from this book to develop mini-lessons  or discussions surrounding key concepts. In our writing groups for graduate students ran through the Center for Scholarly Communication, we focus on time management and goal setting (Chapter 8), overcoming imposter syndrome and fixed mindsets (Chapter 7), and how to manage revision (chapter 5).  For structured faculty writing groups, we always use Chapter 8 and then will draw material from other chapters depending on the needs of individual groups.   </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ana Driscoll" w:id="0" w:date="2024-09-13T11:59:00Z">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Editors note, I have these right now as separate files for downloading; I am envisioning some kind of resource page for these that is linked in the book and also available from the book’s page on the WAC Clearinghouse site.</w:t>
      </w:r>
    </w:p>
  </w:comment>
  <w:comment w:author="Dana Driscoll" w:id="1" w:date="2024-09-13T12:05:00Z">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More specifics here once we discuss licenses?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A" w15:done="0"/>
  <w15:commentEx w15:paraId="0000001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7A2D6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A2D6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A2D6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A2D6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7A2D6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A2D6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A2D6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A2D6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A2D6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A2D6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A2D6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A2D6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A2D6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A2D6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A2D6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7A2D66"/>
    <w:rPr>
      <w:i w:val="1"/>
      <w:iCs w:val="1"/>
      <w:color w:val="404040" w:themeColor="text1" w:themeTint="0000BF"/>
    </w:rPr>
  </w:style>
  <w:style w:type="paragraph" w:styleId="ListParagraph">
    <w:name w:val="List Paragraph"/>
    <w:basedOn w:val="Normal"/>
    <w:uiPriority w:val="34"/>
    <w:qFormat w:val="1"/>
    <w:rsid w:val="007A2D66"/>
    <w:pPr>
      <w:ind w:left="720"/>
      <w:contextualSpacing w:val="1"/>
    </w:pPr>
  </w:style>
  <w:style w:type="character" w:styleId="IntenseEmphasis">
    <w:name w:val="Intense Emphasis"/>
    <w:basedOn w:val="DefaultParagraphFont"/>
    <w:uiPriority w:val="21"/>
    <w:qFormat w:val="1"/>
    <w:rsid w:val="007A2D66"/>
    <w:rPr>
      <w:i w:val="1"/>
      <w:iCs w:val="1"/>
      <w:color w:val="0f4761" w:themeColor="accent1" w:themeShade="0000BF"/>
    </w:rPr>
  </w:style>
  <w:style w:type="paragraph" w:styleId="IntenseQuote">
    <w:name w:val="Intense Quote"/>
    <w:basedOn w:val="Normal"/>
    <w:next w:val="Normal"/>
    <w:link w:val="IntenseQuoteChar"/>
    <w:uiPriority w:val="30"/>
    <w:qFormat w:val="1"/>
    <w:rsid w:val="007A2D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A2D66"/>
    <w:rPr>
      <w:i w:val="1"/>
      <w:iCs w:val="1"/>
      <w:color w:val="0f4761" w:themeColor="accent1" w:themeShade="0000BF"/>
    </w:rPr>
  </w:style>
  <w:style w:type="character" w:styleId="IntenseReference">
    <w:name w:val="Intense Reference"/>
    <w:basedOn w:val="DefaultParagraphFont"/>
    <w:uiPriority w:val="32"/>
    <w:qFormat w:val="1"/>
    <w:rsid w:val="007A2D66"/>
    <w:rPr>
      <w:b w:val="1"/>
      <w:bCs w:val="1"/>
      <w:smallCaps w:val="1"/>
      <w:color w:val="0f4761" w:themeColor="accent1" w:themeShade="0000BF"/>
      <w:spacing w:val="5"/>
    </w:rPr>
  </w:style>
  <w:style w:type="table" w:styleId="TableGrid">
    <w:name w:val="Table Grid"/>
    <w:basedOn w:val="TableNormal"/>
    <w:uiPriority w:val="39"/>
    <w:rsid w:val="00A20BF6"/>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20BF6"/>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unhideWhenUsed w:val="1"/>
    <w:rsid w:val="00A20BF6"/>
    <w:rPr>
      <w:color w:val="467886" w:themeColor="hyperlink"/>
      <w:u w:val="single"/>
    </w:rPr>
  </w:style>
  <w:style w:type="character" w:styleId="FollowedHyperlink">
    <w:name w:val="FollowedHyperlink"/>
    <w:basedOn w:val="DefaultParagraphFont"/>
    <w:uiPriority w:val="99"/>
    <w:semiHidden w:val="1"/>
    <w:unhideWhenUsed w:val="1"/>
    <w:rsid w:val="00A20BF6"/>
    <w:rPr>
      <w:color w:val="96607d" w:themeColor="followedHyperlink"/>
      <w:u w:val="single"/>
    </w:rPr>
  </w:style>
  <w:style w:type="character" w:styleId="CommentReference">
    <w:name w:val="annotation reference"/>
    <w:basedOn w:val="DefaultParagraphFont"/>
    <w:uiPriority w:val="99"/>
    <w:semiHidden w:val="1"/>
    <w:unhideWhenUsed w:val="1"/>
    <w:rsid w:val="002A0A9C"/>
    <w:rPr>
      <w:sz w:val="16"/>
      <w:szCs w:val="16"/>
    </w:rPr>
  </w:style>
  <w:style w:type="paragraph" w:styleId="CommentText">
    <w:name w:val="annotation text"/>
    <w:basedOn w:val="Normal"/>
    <w:link w:val="CommentTextChar"/>
    <w:uiPriority w:val="99"/>
    <w:semiHidden w:val="1"/>
    <w:unhideWhenUsed w:val="1"/>
    <w:rsid w:val="002A0A9C"/>
    <w:pPr>
      <w:spacing w:line="240" w:lineRule="auto"/>
    </w:pPr>
    <w:rPr>
      <w:sz w:val="20"/>
      <w:szCs w:val="20"/>
    </w:rPr>
  </w:style>
  <w:style w:type="character" w:styleId="CommentTextChar" w:customStyle="1">
    <w:name w:val="Comment Text Char"/>
    <w:basedOn w:val="DefaultParagraphFont"/>
    <w:link w:val="CommentText"/>
    <w:uiPriority w:val="99"/>
    <w:semiHidden w:val="1"/>
    <w:rsid w:val="002A0A9C"/>
    <w:rPr>
      <w:sz w:val="20"/>
      <w:szCs w:val="20"/>
    </w:rPr>
  </w:style>
  <w:style w:type="paragraph" w:styleId="CommentSubject">
    <w:name w:val="annotation subject"/>
    <w:basedOn w:val="CommentText"/>
    <w:next w:val="CommentText"/>
    <w:link w:val="CommentSubjectChar"/>
    <w:uiPriority w:val="99"/>
    <w:semiHidden w:val="1"/>
    <w:unhideWhenUsed w:val="1"/>
    <w:rsid w:val="002A0A9C"/>
    <w:rPr>
      <w:b w:val="1"/>
      <w:bCs w:val="1"/>
    </w:rPr>
  </w:style>
  <w:style w:type="character" w:styleId="CommentSubjectChar" w:customStyle="1">
    <w:name w:val="Comment Subject Char"/>
    <w:basedOn w:val="CommentTextChar"/>
    <w:link w:val="CommentSubject"/>
    <w:uiPriority w:val="99"/>
    <w:semiHidden w:val="1"/>
    <w:rsid w:val="002A0A9C"/>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xFuTjatlkUFEv2doIPqgRhNw==">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2024-09-13T13:47:00Z</dcterms:created>
  <dc:creator>Dana Driscoll</dc:creator>
</cp:coreProperties>
</file>